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32"/>
          <w:szCs w:val="32"/>
        </w:rPr>
      </w:pPr>
      <w:r>
        <w:rPr/>
        <w:drawing>
          <wp:inline distT="0" distB="0" distL="0" distR="0">
            <wp:extent cx="780415" cy="81597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2" t="-33" r="-42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РОССИЙСКАЯ ФЕДЕРАЦИЯ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РОСТОВСКАЯ ОБЛАСТЬ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МУНИЦИПАЛЬНОЕ ОБРАЗОВАНИЕ</w:t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«ЗЕЛЕНОВСКОЕ СЕЛЬСКОЕ ПОСЕЛЕНИЕ»</w:t>
      </w:r>
    </w:p>
    <w:p>
      <w:pPr>
        <w:pStyle w:val="Normal"/>
        <w:jc w:val="center"/>
        <w:rPr>
          <w:b/>
          <w:b/>
          <w:sz w:val="24"/>
          <w:szCs w:val="24"/>
        </w:rPr>
      </w:pPr>
      <w:r>
        <w:rPr>
          <w:b/>
          <w:sz w:val="32"/>
          <w:szCs w:val="32"/>
        </w:rPr>
        <w:t>АДМИНИСТРАЦИЯ ЗЕЛЕНОВСКОГО СЕЛЬСКОГО ПОСЕЛЕНИЯ</w:t>
      </w:r>
    </w:p>
    <w:p>
      <w:pPr>
        <w:pStyle w:val="1"/>
        <w:tabs>
          <w:tab w:val="clear" w:pos="708"/>
          <w:tab w:val="left" w:pos="3180" w:leader="none"/>
          <w:tab w:val="center" w:pos="4875" w:leader="none"/>
        </w:tabs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"/>
        <w:tabs>
          <w:tab w:val="clear" w:pos="708"/>
          <w:tab w:val="left" w:pos="3180" w:leader="none"/>
          <w:tab w:val="center" w:pos="4875" w:leader="none"/>
        </w:tabs>
        <w:jc w:val="lef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jc w:val="center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РАСПОРЯЖЕНИЕ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exact" w:line="220"/>
        <w:jc w:val="center"/>
        <w:rPr>
          <w:b/>
          <w:b/>
          <w:spacing w:val="38"/>
        </w:rPr>
      </w:pPr>
      <w:r>
        <w:rPr>
          <w:b/>
          <w:spacing w:val="38"/>
        </w:rPr>
      </w:r>
    </w:p>
    <w:p>
      <w:pPr>
        <w:pStyle w:val="Normal"/>
        <w:rPr>
          <w:spacing w:val="38"/>
          <w:sz w:val="28"/>
          <w:szCs w:val="28"/>
        </w:rPr>
      </w:pPr>
      <w:r>
        <w:rPr>
          <w:spacing w:val="38"/>
          <w:sz w:val="28"/>
          <w:szCs w:val="28"/>
        </w:rPr>
        <w:t>30.07.202</w:t>
      </w:r>
      <w:r>
        <w:rPr>
          <w:spacing w:val="38"/>
          <w:sz w:val="28"/>
          <w:szCs w:val="28"/>
        </w:rPr>
        <w:t>5</w:t>
      </w:r>
      <w:r>
        <w:rPr>
          <w:spacing w:val="38"/>
          <w:sz w:val="28"/>
          <w:szCs w:val="28"/>
        </w:rPr>
        <w:t xml:space="preserve"> года                   </w:t>
      </w:r>
      <w:r>
        <w:rPr>
          <w:rFonts w:eastAsia="Times New Roman" w:cs="Times New Roman"/>
          <w:b/>
          <w:spacing w:val="38"/>
          <w:sz w:val="28"/>
          <w:szCs w:val="28"/>
        </w:rPr>
        <w:t>№</w:t>
      </w:r>
      <w:r>
        <w:rPr>
          <w:b/>
          <w:spacing w:val="38"/>
          <w:sz w:val="28"/>
          <w:szCs w:val="28"/>
        </w:rPr>
        <w:t xml:space="preserve"> 44</w:t>
      </w:r>
      <w:r>
        <w:rPr>
          <w:spacing w:val="38"/>
          <w:sz w:val="28"/>
          <w:szCs w:val="28"/>
        </w:rPr>
        <w:t xml:space="preserve">                        х.Зеленовка</w:t>
      </w:r>
    </w:p>
    <w:p>
      <w:pPr>
        <w:pStyle w:val="Normal"/>
        <w:spacing w:lineRule="exact" w:line="320"/>
        <w:jc w:val="center"/>
        <w:rPr>
          <w:spacing w:val="38"/>
          <w:sz w:val="28"/>
          <w:szCs w:val="28"/>
        </w:rPr>
      </w:pPr>
      <w:r>
        <w:rPr>
          <w:spacing w:val="38"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 результатах оценки эффективности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налоговых расходов, установленных на территории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Зеленовского сельского поселения за 2024 год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соответствии с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</w:t>
      </w:r>
      <w:r>
        <w:rPr>
          <w:sz w:val="28"/>
          <w:szCs w:val="28"/>
        </w:rPr>
        <w:t>, постановлением Зеленовского сельского поселения от 26.09.2019 г. № 95 «</w:t>
      </w:r>
      <w:r>
        <w:rPr>
          <w:rFonts w:eastAsia="MS Mincho"/>
          <w:iCs/>
          <w:sz w:val="28"/>
          <w:szCs w:val="28"/>
        </w:rPr>
        <w:t>Об утверждении методики оценки эффективности предоставленных (планируемых к предоставлению (пролонгации)) налоговых льгот и пониженных ставок по местным налогам на территории Зеленовского сельского поселения</w:t>
      </w:r>
      <w:r>
        <w:rPr>
          <w:sz w:val="28"/>
          <w:szCs w:val="28"/>
        </w:rPr>
        <w:t>» и постановлением Администрации Зеленовского сельского поселения от 12.08.2022 № 67 «Об утверждении Порядка формирования перечня налоговых расходов и оценки налоговых расходов Зеленовского  сельского поселения»:</w:t>
      </w:r>
    </w:p>
    <w:p>
      <w:pPr>
        <w:pStyle w:val="NormalWeb"/>
        <w:spacing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1170" w:hanging="117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Утвердить результаты оценки налоговых расходов, </w:t>
      </w:r>
      <w:r>
        <w:rPr>
          <w:color w:val="000000"/>
          <w:sz w:val="28"/>
          <w:szCs w:val="28"/>
        </w:rPr>
        <w:t>муниципального</w:t>
      </w:r>
    </w:p>
    <w:p>
      <w:pPr>
        <w:pStyle w:val="NormalWeb"/>
        <w:spacing w:beforeAutospacing="0" w:before="0" w:afterAutospacing="0" w:after="0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образования Зеленовского </w:t>
      </w:r>
      <w:r>
        <w:rPr>
          <w:bCs/>
          <w:sz w:val="28"/>
          <w:szCs w:val="28"/>
        </w:rPr>
        <w:t>сельское поселение за 2024 год согласно приложению к настоящему распоряжению.</w:t>
      </w:r>
    </w:p>
    <w:p>
      <w:pPr>
        <w:pStyle w:val="NormalWeb"/>
        <w:spacing w:beforeAutospacing="0" w:before="0" w:afterAutospacing="0" w:after="0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Web"/>
        <w:numPr>
          <w:ilvl w:val="0"/>
          <w:numId w:val="1"/>
        </w:numPr>
        <w:spacing w:lineRule="auto" w:line="240" w:beforeAutospacing="0" w:before="0" w:afterAutospacing="0" w:after="0"/>
        <w:ind w:left="0" w:hanging="0"/>
        <w:contextualSpacing/>
        <w:rPr/>
      </w:pPr>
      <w:r>
        <w:rPr>
          <w:bCs/>
          <w:sz w:val="28"/>
          <w:szCs w:val="28"/>
        </w:rPr>
        <w:t>Данное распоряжение вступает в силу с момента его подписания.</w:t>
      </w:r>
    </w:p>
    <w:p>
      <w:pPr>
        <w:pStyle w:val="Normal"/>
        <w:spacing w:lineRule="auto" w:line="240" w:before="0" w:after="0"/>
        <w:contextualSpacing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1"/>
        <w:spacing w:lineRule="auto" w:line="240" w:before="0" w:after="0"/>
        <w:ind w:firstLine="708"/>
        <w:contextualSpacing/>
        <w:jc w:val="left"/>
        <w:rPr/>
      </w:pPr>
      <w:r>
        <w:rPr>
          <w:rFonts w:ascii="Times New Roman" w:hAnsi="Times New Roman"/>
          <w:b w:val="false"/>
          <w:spacing w:val="0"/>
          <w:szCs w:val="28"/>
        </w:rPr>
        <w:t xml:space="preserve">Глава Администрации </w:t>
      </w:r>
    </w:p>
    <w:p>
      <w:pPr>
        <w:pStyle w:val="Normal"/>
        <w:spacing w:lineRule="auto" w:line="240" w:before="0" w:after="0"/>
        <w:contextualSpacing/>
        <w:jc w:val="lef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spacing w:lineRule="auto" w:line="240" w:before="0" w:after="0"/>
        <w:ind w:firstLine="708"/>
        <w:contextualSpacing/>
        <w:jc w:val="left"/>
        <w:rPr/>
      </w:pPr>
      <w:r>
        <w:rPr>
          <w:rFonts w:ascii="Times New Roman" w:hAnsi="Times New Roman"/>
          <w:b w:val="false"/>
          <w:spacing w:val="0"/>
          <w:szCs w:val="28"/>
        </w:rPr>
        <w:t>Зеленовского сельского поселения                                           Т.И. Обухова</w:t>
      </w:r>
    </w:p>
    <w:p>
      <w:pPr>
        <w:pStyle w:val="Normal"/>
        <w:spacing w:lineRule="auto" w:line="240" w:before="0" w:after="0"/>
        <w:ind w:firstLine="708"/>
        <w:contextualSpacing/>
        <w:jc w:val="left"/>
        <w:rPr>
          <w:rFonts w:ascii="Times New Roman" w:hAnsi="Times New Roman"/>
          <w:b w:val="false"/>
          <w:b w:val="false"/>
          <w:spacing w:val="0"/>
          <w:szCs w:val="28"/>
        </w:rPr>
      </w:pPr>
      <w:r>
        <w:rPr>
          <w:b w:val="false"/>
          <w:spacing w:val="0"/>
          <w:szCs w:val="28"/>
        </w:rPr>
      </w:r>
    </w:p>
    <w:p>
      <w:pPr>
        <w:pStyle w:val="Normal"/>
        <w:spacing w:lineRule="auto" w:line="240" w:before="0" w:after="0"/>
        <w:ind w:firstLine="708"/>
        <w:contextualSpacing/>
        <w:jc w:val="left"/>
        <w:rPr>
          <w:rFonts w:ascii="Times New Roman" w:hAnsi="Times New Roman"/>
          <w:b w:val="false"/>
          <w:b w:val="false"/>
          <w:spacing w:val="0"/>
          <w:szCs w:val="28"/>
        </w:rPr>
      </w:pPr>
      <w:r>
        <w:rPr>
          <w:b w:val="false"/>
          <w:spacing w:val="0"/>
          <w:szCs w:val="28"/>
        </w:rPr>
      </w:r>
    </w:p>
    <w:p>
      <w:pPr>
        <w:pStyle w:val="Normal"/>
        <w:ind w:firstLine="708"/>
        <w:jc w:val="left"/>
        <w:rPr>
          <w:rFonts w:ascii="Times New Roman" w:hAnsi="Times New Roman"/>
          <w:b w:val="false"/>
          <w:b w:val="false"/>
          <w:spacing w:val="0"/>
          <w:szCs w:val="28"/>
        </w:rPr>
      </w:pPr>
      <w:r>
        <w:rPr>
          <w:b w:val="false"/>
          <w:spacing w:val="0"/>
          <w:szCs w:val="28"/>
        </w:rPr>
      </w:r>
    </w:p>
    <w:p>
      <w:pPr>
        <w:pStyle w:val="Normal"/>
        <w:ind w:firstLine="708"/>
        <w:jc w:val="left"/>
        <w:rPr>
          <w:rFonts w:ascii="Times New Roman" w:hAnsi="Times New Roman"/>
          <w:b w:val="false"/>
          <w:b w:val="false"/>
          <w:spacing w:val="0"/>
          <w:szCs w:val="28"/>
        </w:rPr>
      </w:pPr>
      <w:r>
        <w:rPr>
          <w:b w:val="false"/>
          <w:spacing w:val="0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Web"/>
        <w:spacing w:beforeAutospacing="0" w:before="0" w:afterAutospacing="0" w:after="0"/>
        <w:ind w:firstLine="709"/>
        <w:jc w:val="right"/>
        <w:rPr/>
      </w:pPr>
      <w:r>
        <w:rPr>
          <w:color w:val="000000"/>
        </w:rPr>
        <w:t>Приложение №1</w:t>
      </w:r>
    </w:p>
    <w:p>
      <w:pPr>
        <w:pStyle w:val="NormalWeb"/>
        <w:spacing w:beforeAutospacing="0" w:before="0" w:afterAutospacing="0" w:after="0"/>
        <w:ind w:firstLine="709"/>
        <w:jc w:val="right"/>
        <w:rPr/>
      </w:pPr>
      <w:r>
        <w:rPr>
          <w:color w:val="000000"/>
        </w:rPr>
        <w:t>к распоряжению Администрации</w:t>
      </w:r>
    </w:p>
    <w:p>
      <w:pPr>
        <w:pStyle w:val="NormalWeb"/>
        <w:spacing w:beforeAutospacing="0" w:before="0" w:afterAutospacing="0" w:after="0"/>
        <w:ind w:firstLine="709"/>
        <w:jc w:val="right"/>
        <w:rPr/>
      </w:pPr>
      <w:r>
        <w:rPr/>
        <w:t xml:space="preserve">Зеленовского сельского поселения </w:t>
      </w:r>
    </w:p>
    <w:p>
      <w:pPr>
        <w:pStyle w:val="NormalWeb"/>
        <w:spacing w:beforeAutospacing="0" w:before="0" w:afterAutospacing="0" w:after="0"/>
        <w:ind w:firstLine="709"/>
        <w:jc w:val="right"/>
        <w:rPr/>
      </w:pPr>
      <w:r>
        <w:rPr/>
        <w:t>от 30.07.2025 № 44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left="-357" w:firstLine="284"/>
        <w:jc w:val="center"/>
        <w:rPr>
          <w:b/>
          <w:b/>
          <w:sz w:val="28"/>
          <w:szCs w:val="28"/>
        </w:rPr>
      </w:pPr>
      <w:r>
        <w:rPr/>
        <w:tab/>
      </w:r>
      <w:r>
        <w:rPr>
          <w:b/>
          <w:sz w:val="28"/>
          <w:szCs w:val="28"/>
        </w:rPr>
        <w:t xml:space="preserve">Результаты проведения оценки налоговых расходов на территории </w:t>
      </w:r>
    </w:p>
    <w:p>
      <w:pPr>
        <w:pStyle w:val="Normal"/>
        <w:ind w:left="-357" w:firstLine="284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Зеленовского сельского поселения </w:t>
      </w:r>
    </w:p>
    <w:p>
      <w:pPr>
        <w:pStyle w:val="Normal"/>
        <w:ind w:left="-357" w:firstLine="284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за 2024 год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Оценка эффективности налоговых расходов за 2024 год проведена в</w:t>
        <w:br/>
        <w:t>соответствии с постановлением Правительства Российской Федерации от 22.06.2019 № 796 «Об общих требованиях к оценке налоговых расходов субъектов Российской Федерации и муниципальных образований»</w:t>
      </w:r>
      <w:r>
        <w:rPr>
          <w:sz w:val="28"/>
          <w:szCs w:val="28"/>
        </w:rPr>
        <w:t>, постановлением Администрации Зеленовского сельского поселения от 26.09.2019г. № 95 «Об утверждении методики оценки эффективности предоставленных (планируемых к предоставлению (пролонгации)) налоговых льгот и пониженных ставок (налоговых расходов) в Зеленовском сельском поселении» и постановлением Администрации Зеленовского сельского поселения от 12.08.2022г. № 67 «Об утверждении Порядка формирования перечня налоговых расходов  и оценки налоговых расходов Зеленовского  сельского поселения».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Для проведения оценки эффективности налоговых расходов Зеленовского сельского поселения использовались данные о категориях налогоплательщиков, о суммах выпадающих доходов и количестве налогоплательщиков, воспользовавшихся льготами, представленные МИФНС России № 21 по Ростовской области.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ind w:left="20" w:right="-1" w:hanging="0"/>
        <w:jc w:val="center"/>
        <w:rPr>
          <w:b/>
          <w:b/>
          <w:color w:val="000000"/>
          <w:spacing w:val="-10"/>
          <w:sz w:val="28"/>
          <w:szCs w:val="28"/>
          <w:lang w:bidi="ru-RU"/>
        </w:rPr>
      </w:pPr>
      <w:r>
        <w:rPr>
          <w:b/>
          <w:color w:val="000000"/>
          <w:spacing w:val="-10"/>
          <w:sz w:val="28"/>
          <w:szCs w:val="28"/>
          <w:lang w:bidi="ru-RU"/>
        </w:rPr>
        <w:t>Проведение инвентаризации предоставленных налоговых льгот</w:t>
      </w:r>
    </w:p>
    <w:p>
      <w:pPr>
        <w:pStyle w:val="Normal"/>
        <w:widowControl w:val="false"/>
        <w:ind w:left="20" w:right="-1" w:hanging="0"/>
        <w:jc w:val="center"/>
        <w:rPr>
          <w:b/>
          <w:b/>
          <w:color w:val="000000"/>
          <w:spacing w:val="-10"/>
          <w:sz w:val="28"/>
          <w:szCs w:val="28"/>
          <w:lang w:bidi="ru-RU"/>
        </w:rPr>
      </w:pPr>
      <w:r>
        <w:rPr>
          <w:b/>
          <w:color w:val="000000"/>
          <w:spacing w:val="-10"/>
          <w:sz w:val="28"/>
          <w:szCs w:val="28"/>
          <w:lang w:bidi="ru-RU"/>
        </w:rPr>
      </w:r>
    </w:p>
    <w:p>
      <w:pPr>
        <w:pStyle w:val="Normal"/>
        <w:widowControl w:val="false"/>
        <w:ind w:right="-1" w:hanging="0"/>
        <w:jc w:val="both"/>
        <w:rPr>
          <w:b/>
          <w:b/>
          <w:color w:val="000000"/>
          <w:spacing w:val="-10"/>
          <w:sz w:val="28"/>
          <w:szCs w:val="28"/>
          <w:u w:val="single"/>
          <w:lang w:bidi="ru-RU"/>
        </w:rPr>
      </w:pPr>
      <w:r>
        <w:rPr>
          <w:b/>
          <w:color w:val="000000"/>
          <w:spacing w:val="-10"/>
          <w:sz w:val="28"/>
          <w:szCs w:val="28"/>
          <w:u w:val="single"/>
          <w:lang w:bidi="ru-RU"/>
        </w:rPr>
        <w:t>Земельный налог</w:t>
      </w:r>
    </w:p>
    <w:p>
      <w:pPr>
        <w:pStyle w:val="Normal"/>
        <w:widowControl w:val="false"/>
        <w:ind w:right="-1" w:hanging="0"/>
        <w:jc w:val="both"/>
        <w:rPr>
          <w:b/>
          <w:b/>
          <w:color w:val="000000"/>
          <w:spacing w:val="-10"/>
          <w:sz w:val="28"/>
          <w:szCs w:val="28"/>
          <w:u w:val="single"/>
          <w:lang w:bidi="ru-RU"/>
        </w:rPr>
      </w:pPr>
      <w:r>
        <w:rPr>
          <w:b/>
          <w:color w:val="000000"/>
          <w:spacing w:val="-10"/>
          <w:sz w:val="28"/>
          <w:szCs w:val="28"/>
          <w:u w:val="single"/>
          <w:lang w:bidi="ru-RU"/>
        </w:rPr>
      </w:r>
    </w:p>
    <w:p>
      <w:pPr>
        <w:pStyle w:val="Normal"/>
        <w:widowControl w:val="false"/>
        <w:ind w:left="23" w:hanging="0"/>
        <w:jc w:val="both"/>
        <w:rPr>
          <w:color w:val="000000"/>
          <w:spacing w:val="-10"/>
          <w:sz w:val="28"/>
          <w:szCs w:val="28"/>
          <w:lang w:bidi="ru-RU"/>
        </w:rPr>
      </w:pPr>
      <w:r>
        <w:rPr>
          <w:color w:val="000000"/>
          <w:spacing w:val="-10"/>
          <w:sz w:val="28"/>
          <w:szCs w:val="28"/>
          <w:lang w:bidi="ru-RU"/>
        </w:rPr>
        <w:t>В соответствии с Решениями Собрания  депутатов Зеленовского сельского поселения о земельном налоге были освобождены от уплаты земельного налога на 100 % следующие категории налогоплательщиков:</w:t>
      </w:r>
    </w:p>
    <w:p>
      <w:pPr>
        <w:pStyle w:val="Normal"/>
        <w:spacing w:lineRule="atLeast" w:line="240"/>
        <w:ind w:firstLine="567"/>
        <w:jc w:val="both"/>
        <w:rPr>
          <w:sz w:val="28"/>
          <w:szCs w:val="28"/>
        </w:rPr>
      </w:pPr>
      <w:r>
        <w:rPr>
          <w:color w:val="000000"/>
          <w:spacing w:val="-10"/>
          <w:sz w:val="28"/>
          <w:szCs w:val="28"/>
          <w:lang w:bidi="ru-RU"/>
        </w:rPr>
        <w:t>1.</w:t>
      </w:r>
      <w:r>
        <w:rPr>
          <w:sz w:val="28"/>
          <w:szCs w:val="28"/>
        </w:rPr>
        <w:t xml:space="preserve"> - граждане, проживающие не менее 5 лет на территории Ростовской области, имеющие трех и более несовершеннолетних детей, совместно проживающих с ними, а также граждане Российской Федерации, имеющие усыновленных (удочеренных), находящихся под опекой или попечительством детей, при условиях воспитания этих детей не менее 3-х лет, в отношении земельных участков, предоставленных под индивидуальное жилищное строительство или ведения ЛПХ в соответствии со статьями 8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t>и 8</w:t>
      </w:r>
      <w:r>
        <w:rPr>
          <w:sz w:val="28"/>
          <w:szCs w:val="28"/>
          <w:vertAlign w:val="superscript"/>
        </w:rPr>
        <w:t xml:space="preserve">3 </w:t>
      </w:r>
      <w:r>
        <w:rPr>
          <w:sz w:val="28"/>
          <w:szCs w:val="28"/>
        </w:rPr>
        <w:t>Областного закона от 22.07.2003 № 19 –ЗС «О регулировании земельных отношений в Ростовской области;</w:t>
      </w:r>
    </w:p>
    <w:p>
      <w:pPr>
        <w:pStyle w:val="Normal"/>
        <w:spacing w:lineRule="atLeast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- ветераны и инвалиды Великой Отечественной войны, члены семей военнослужащих, потерявших кормильца;</w:t>
      </w:r>
    </w:p>
    <w:p>
      <w:pPr>
        <w:pStyle w:val="Normal"/>
        <w:spacing w:lineRule="atLeast" w:line="24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- граждане Российской Федерации, проживающие на территории Зеленовского сельского поселения, имеющие детей-инвалидов;</w:t>
      </w:r>
    </w:p>
    <w:p>
      <w:pPr>
        <w:pStyle w:val="Normal"/>
        <w:widowControl/>
        <w:spacing w:lineRule="atLeast" w:line="240"/>
        <w:ind w:left="0" w:right="0" w:firstLine="567"/>
        <w:jc w:val="both"/>
        <w:rPr/>
      </w:pP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4.</w:t>
        <w:softHyphen/>
        <w:t xml:space="preserve"> - организации, включенные в сводный реестр организаций оборонно-промышленного комплекса;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   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5.  -участников специальной военной операции - граждан Российской Федерации, зарегистрированных по месту жительства на территории Ростовской области и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647; заключивших контракт о прохождении военной службы в соответствии с Федеральным законом от 28.03.1998 № 53-ФЗ «О воинской обязанности и военной службе или контракт о пребывании в добровольческом формировании (добровольном содействии в выполнении задач, возложенных на Вооруженные Силы Российской Федерации), принимающие (принимавшие) участие в специальной военной операции, а также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8"/>
          <w:szCs w:val="28"/>
          <w:u w:val="none"/>
          <w:em w:val="none"/>
        </w:rPr>
        <w:t>членов семей участников специальной военной операции-супругов, несовершеннолетних детей, детей в возрасте до 23 лет, обучающихся в образовательных организациях по очной форме обучения, детей, находящихся под опекой (попечительством), родителей ( усыновителей), членов семей погибших ( умерших) участников специальной военной операции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  <w:u w:val="single"/>
          <w:lang w:bidi="ru-RU"/>
        </w:rPr>
      </w:pPr>
      <w:r>
        <w:rPr>
          <w:b/>
          <w:sz w:val="28"/>
          <w:szCs w:val="28"/>
          <w:u w:val="single"/>
          <w:lang w:bidi="ru-RU"/>
        </w:rPr>
        <w:t>Налог на имущество физических лиц</w:t>
      </w:r>
    </w:p>
    <w:p>
      <w:pPr>
        <w:pStyle w:val="Normal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bidi="ru-RU"/>
        </w:rPr>
        <w:t xml:space="preserve">Налог на имущество физических лиц взимается на основании Налогового кодекса РФ. Объектами налогообложения выступают - жилые дома, квартиры, комнаты, дачи, гаражи, иные строения, помещения и сооружения, а так же доли в праве общей собственности на вышеуказанное имущество. В соответствии статьи 399 НК РФ представительные органы муниципальных образований определяют налоговые ставки, порядок и сроки уплаты налога. Ставки налога устанавливаются от кадастровой стоимости объектов налогообложения. Льгота по налогу на имущество физических лиц представляется </w:t>
      </w:r>
      <w:r>
        <w:rPr>
          <w:color w:val="000000"/>
          <w:sz w:val="28"/>
          <w:szCs w:val="28"/>
        </w:rPr>
        <w:t>гражданам Российской Федерации, проживающие на территории Зеленовского сельского поселения и имеющим в составе семьи детей-инвалидов.</w:t>
      </w:r>
    </w:p>
    <w:p>
      <w:pPr>
        <w:pStyle w:val="Normal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  <w:lang w:bidi="ru-RU"/>
        </w:rPr>
      </w:r>
    </w:p>
    <w:p>
      <w:pPr>
        <w:pStyle w:val="Normal"/>
        <w:widowControl w:val="false"/>
        <w:tabs>
          <w:tab w:val="clear" w:pos="708"/>
          <w:tab w:val="left" w:pos="2603" w:leader="none"/>
        </w:tabs>
        <w:ind w:right="360" w:hanging="0"/>
        <w:jc w:val="center"/>
        <w:rPr>
          <w:rFonts w:ascii="Times New Roman" w:hAnsi="Times New Roman"/>
        </w:rPr>
      </w:pPr>
      <w:r>
        <w:rPr>
          <w:b/>
          <w:bCs/>
          <w:iCs/>
          <w:color w:val="000000"/>
          <w:spacing w:val="-20"/>
          <w:sz w:val="28"/>
          <w:szCs w:val="28"/>
          <w:lang w:bidi="ru-RU"/>
        </w:rPr>
        <w:t>Определение объемов недополученных (выпадающих) доходов бюджета Зеленовского сельского поселения Тарасовского района, обусловленных предоставлением налоговых льгот.</w:t>
      </w:r>
    </w:p>
    <w:p>
      <w:pPr>
        <w:pStyle w:val="Normal"/>
        <w:widowControl w:val="false"/>
        <w:tabs>
          <w:tab w:val="clear" w:pos="708"/>
          <w:tab w:val="left" w:pos="2603" w:leader="none"/>
        </w:tabs>
        <w:ind w:right="360" w:hanging="0"/>
        <w:jc w:val="both"/>
        <w:rPr>
          <w:b/>
          <w:b/>
          <w:bCs/>
          <w:i/>
          <w:i/>
          <w:iCs/>
          <w:color w:val="000000"/>
          <w:spacing w:val="-20"/>
          <w:sz w:val="28"/>
          <w:szCs w:val="28"/>
          <w:lang w:bidi="ru-RU"/>
        </w:rPr>
      </w:pPr>
      <w:r>
        <w:rPr>
          <w:b/>
          <w:bCs/>
          <w:i/>
          <w:iCs/>
          <w:color w:val="000000"/>
          <w:spacing w:val="-20"/>
          <w:sz w:val="28"/>
          <w:szCs w:val="28"/>
          <w:lang w:bidi="ru-RU"/>
        </w:rPr>
      </w:r>
    </w:p>
    <w:p>
      <w:pPr>
        <w:pStyle w:val="Normal"/>
        <w:widowControl w:val="false"/>
        <w:ind w:left="23" w:right="23" w:firstLine="709"/>
        <w:jc w:val="both"/>
        <w:rPr>
          <w:color w:val="000000"/>
          <w:spacing w:val="-10"/>
          <w:sz w:val="28"/>
          <w:szCs w:val="28"/>
          <w:lang w:bidi="ru-RU"/>
        </w:rPr>
      </w:pPr>
      <w:r>
        <w:rPr>
          <w:color w:val="000000"/>
          <w:spacing w:val="-10"/>
          <w:sz w:val="28"/>
          <w:szCs w:val="28"/>
          <w:lang w:bidi="ru-RU"/>
        </w:rPr>
        <w:t>В 2024 году сумма предоставленной льготы по земельному налогу составила 4,0 тыс.  рублей.</w:t>
      </w:r>
    </w:p>
    <w:p>
      <w:pPr>
        <w:pStyle w:val="Normal"/>
        <w:widowControl w:val="false"/>
        <w:ind w:left="23" w:right="23" w:firstLine="709"/>
        <w:jc w:val="both"/>
        <w:rPr>
          <w:color w:val="000000"/>
          <w:spacing w:val="-10"/>
          <w:sz w:val="28"/>
          <w:szCs w:val="28"/>
          <w:lang w:bidi="ru-RU"/>
        </w:rPr>
      </w:pPr>
      <w:r>
        <w:rPr>
          <w:color w:val="000000"/>
          <w:spacing w:val="-10"/>
          <w:sz w:val="28"/>
          <w:szCs w:val="28"/>
          <w:lang w:bidi="ru-RU"/>
        </w:rPr>
        <w:t>В 2024 году сумма предоставленной льготы по налогу на имущество физических лиц составила 0,0 рублей.</w:t>
      </w:r>
    </w:p>
    <w:p>
      <w:pPr>
        <w:pStyle w:val="Normal"/>
        <w:widowControl w:val="false"/>
        <w:ind w:left="23" w:right="23" w:firstLine="709"/>
        <w:jc w:val="both"/>
        <w:rPr>
          <w:color w:val="000000"/>
          <w:spacing w:val="-10"/>
          <w:sz w:val="28"/>
          <w:szCs w:val="28"/>
          <w:lang w:bidi="ru-RU"/>
        </w:rPr>
      </w:pPr>
      <w:r>
        <w:rPr>
          <w:color w:val="000000"/>
          <w:spacing w:val="-10"/>
          <w:sz w:val="28"/>
          <w:szCs w:val="28"/>
          <w:lang w:bidi="ru-RU"/>
        </w:rPr>
      </w:r>
    </w:p>
    <w:p>
      <w:pPr>
        <w:pStyle w:val="Normal"/>
        <w:widowControl w:val="false"/>
        <w:ind w:left="23" w:right="23" w:firstLine="709"/>
        <w:jc w:val="both"/>
        <w:rPr>
          <w:color w:val="000000"/>
          <w:spacing w:val="-10"/>
          <w:sz w:val="28"/>
          <w:szCs w:val="28"/>
          <w:lang w:bidi="ru-RU"/>
        </w:rPr>
      </w:pPr>
      <w:r>
        <w:rPr>
          <w:color w:val="000000"/>
          <w:spacing w:val="-10"/>
          <w:sz w:val="28"/>
          <w:szCs w:val="28"/>
          <w:lang w:bidi="ru-RU"/>
        </w:rPr>
      </w:r>
    </w:p>
    <w:p>
      <w:pPr>
        <w:pStyle w:val="Normal"/>
        <w:widowControl w:val="false"/>
        <w:ind w:left="23" w:right="23" w:firstLine="709"/>
        <w:jc w:val="both"/>
        <w:rPr>
          <w:color w:val="000000"/>
          <w:spacing w:val="-10"/>
          <w:sz w:val="28"/>
          <w:szCs w:val="28"/>
          <w:lang w:bidi="ru-RU"/>
        </w:rPr>
      </w:pPr>
      <w:r>
        <w:rPr>
          <w:color w:val="000000"/>
          <w:spacing w:val="-10"/>
          <w:sz w:val="28"/>
          <w:szCs w:val="28"/>
          <w:lang w:bidi="ru-RU"/>
        </w:rPr>
      </w:r>
    </w:p>
    <w:p>
      <w:pPr>
        <w:pStyle w:val="Normal"/>
        <w:widowControl w:val="false"/>
        <w:ind w:left="23" w:right="23" w:firstLine="709"/>
        <w:jc w:val="both"/>
        <w:rPr>
          <w:color w:val="000000"/>
          <w:spacing w:val="-10"/>
          <w:sz w:val="28"/>
          <w:szCs w:val="28"/>
          <w:lang w:bidi="ru-RU"/>
        </w:rPr>
      </w:pPr>
      <w:r>
        <w:rPr>
          <w:color w:val="000000"/>
          <w:spacing w:val="-10"/>
          <w:sz w:val="28"/>
          <w:szCs w:val="28"/>
          <w:lang w:bidi="ru-RU"/>
        </w:rPr>
      </w:r>
    </w:p>
    <w:p>
      <w:pPr>
        <w:pStyle w:val="Normal"/>
        <w:widowControl w:val="false"/>
        <w:ind w:left="23" w:right="23" w:firstLine="709"/>
        <w:jc w:val="both"/>
        <w:rPr>
          <w:color w:val="000000"/>
          <w:spacing w:val="-10"/>
          <w:sz w:val="28"/>
          <w:szCs w:val="28"/>
          <w:lang w:bidi="ru-RU"/>
        </w:rPr>
      </w:pPr>
      <w:r>
        <w:rPr>
          <w:color w:val="000000"/>
          <w:spacing w:val="-10"/>
          <w:sz w:val="28"/>
          <w:szCs w:val="28"/>
          <w:lang w:bidi="ru-RU"/>
        </w:rPr>
      </w:r>
    </w:p>
    <w:p>
      <w:pPr>
        <w:pStyle w:val="Normal"/>
        <w:widowControl w:val="false"/>
        <w:ind w:left="23" w:right="23" w:firstLine="709"/>
        <w:jc w:val="both"/>
        <w:rPr>
          <w:color w:val="000000"/>
          <w:spacing w:val="-10"/>
          <w:sz w:val="28"/>
          <w:szCs w:val="28"/>
          <w:lang w:bidi="ru-RU"/>
        </w:rPr>
      </w:pPr>
      <w:r>
        <w:rPr>
          <w:color w:val="000000"/>
          <w:spacing w:val="-10"/>
          <w:sz w:val="28"/>
          <w:szCs w:val="28"/>
          <w:lang w:bidi="ru-RU"/>
        </w:rPr>
      </w:r>
    </w:p>
    <w:p>
      <w:pPr>
        <w:pStyle w:val="Normal"/>
        <w:widowControl w:val="false"/>
        <w:ind w:left="23" w:right="23" w:firstLine="709"/>
        <w:jc w:val="both"/>
        <w:rPr>
          <w:color w:val="000000"/>
          <w:spacing w:val="-10"/>
          <w:sz w:val="28"/>
          <w:szCs w:val="28"/>
          <w:lang w:bidi="ru-RU"/>
        </w:rPr>
      </w:pPr>
      <w:r>
        <w:rPr>
          <w:color w:val="000000"/>
          <w:spacing w:val="-10"/>
          <w:sz w:val="28"/>
          <w:szCs w:val="28"/>
          <w:lang w:bidi="ru-RU"/>
        </w:rPr>
      </w:r>
    </w:p>
    <w:p>
      <w:pPr>
        <w:pStyle w:val="Normal"/>
        <w:widowControl w:val="false"/>
        <w:ind w:left="23" w:right="23" w:firstLine="709"/>
        <w:jc w:val="both"/>
        <w:rPr>
          <w:color w:val="000000"/>
          <w:spacing w:val="-10"/>
          <w:sz w:val="28"/>
          <w:szCs w:val="28"/>
          <w:lang w:bidi="ru-RU"/>
        </w:rPr>
      </w:pPr>
      <w:r>
        <w:rPr>
          <w:color w:val="000000"/>
          <w:spacing w:val="-10"/>
          <w:sz w:val="28"/>
          <w:szCs w:val="28"/>
          <w:lang w:bidi="ru-RU"/>
        </w:rPr>
      </w:r>
    </w:p>
    <w:p>
      <w:pPr>
        <w:pStyle w:val="Normal"/>
        <w:widowControl w:val="false"/>
        <w:ind w:left="23" w:right="23" w:firstLine="709"/>
        <w:jc w:val="both"/>
        <w:rPr>
          <w:color w:val="000000"/>
          <w:spacing w:val="-10"/>
          <w:sz w:val="28"/>
          <w:szCs w:val="28"/>
          <w:lang w:bidi="ru-RU"/>
        </w:rPr>
      </w:pPr>
      <w:r>
        <w:rPr>
          <w:color w:val="000000"/>
          <w:spacing w:val="-10"/>
          <w:sz w:val="28"/>
          <w:szCs w:val="28"/>
          <w:lang w:bidi="ru-RU"/>
        </w:rPr>
      </w:r>
    </w:p>
    <w:p>
      <w:pPr>
        <w:pStyle w:val="Normal"/>
        <w:widowControl w:val="false"/>
        <w:tabs>
          <w:tab w:val="clear" w:pos="708"/>
          <w:tab w:val="left" w:pos="5643" w:leader="none"/>
          <w:tab w:val="left" w:pos="6213" w:leader="none"/>
          <w:tab w:val="left" w:pos="7125" w:leader="none"/>
        </w:tabs>
        <w:suppressAutoHyphens w:val="true"/>
        <w:spacing w:lineRule="exact" w:line="240"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Оценка эффективности социальных налоговых льгот и пониженных ставок (налоговых расходов) в Зеленовском сельском поселении</w:t>
      </w:r>
    </w:p>
    <w:p>
      <w:pPr>
        <w:pStyle w:val="Normal"/>
        <w:widowControl w:val="false"/>
        <w:tabs>
          <w:tab w:val="clear" w:pos="708"/>
          <w:tab w:val="left" w:pos="5643" w:leader="none"/>
          <w:tab w:val="left" w:pos="6213" w:leader="none"/>
          <w:tab w:val="left" w:pos="7125" w:leader="none"/>
        </w:tabs>
        <w:suppressAutoHyphens w:val="true"/>
        <w:spacing w:lineRule="exact" w:line="240"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04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4"/>
        <w:gridCol w:w="6888"/>
        <w:gridCol w:w="3000"/>
      </w:tblGrid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exact" w:line="240"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exact" w:line="240"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критерия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exact" w:line="240" w:before="0" w:after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критерия (да/нет)</w:t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auto" w:line="240" w:before="0" w:after="0"/>
              <w:contextualSpacing/>
              <w:rPr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auto" w:line="240" w:before="0" w:after="0"/>
              <w:contextualSpacing/>
              <w:rPr/>
            </w:pPr>
            <w:r>
              <w:rPr>
                <w:sz w:val="28"/>
                <w:szCs w:val="28"/>
              </w:rPr>
              <w:t>Соответствие налоговых льгот и пониженных ставок (налоговых расходов) целям и задачам социально-экономической политики Зеленовского сельского поселения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auto" w:line="240" w:before="0" w:after="0"/>
              <w:contextualSpacing/>
              <w:rPr/>
            </w:pPr>
            <w:r>
              <w:rPr>
                <w:sz w:val="28"/>
                <w:szCs w:val="28"/>
              </w:rPr>
              <w:t>Да</w:t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auto" w:line="240" w:before="0" w:after="0"/>
              <w:contextualSpacing/>
              <w:rPr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auto" w:line="240" w:before="0" w:after="0"/>
              <w:contextualSpacing/>
              <w:rPr/>
            </w:pPr>
            <w:r>
              <w:rPr>
                <w:sz w:val="28"/>
                <w:szCs w:val="28"/>
              </w:rPr>
              <w:t>Увязка налоговой льготы (налогового расхода) с уровнем бедности (критериями нуждаемости)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auto" w:line="240" w:before="0" w:after="0"/>
              <w:contextualSpacing/>
              <w:rPr/>
            </w:pPr>
            <w:r>
              <w:rPr>
                <w:sz w:val="28"/>
                <w:szCs w:val="28"/>
              </w:rPr>
              <w:t>Да</w:t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auto" w:line="240" w:before="0" w:after="0"/>
              <w:contextualSpacing/>
              <w:rPr/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auto" w:line="240" w:before="0" w:after="0"/>
              <w:contextualSpacing/>
              <w:rPr/>
            </w:pPr>
            <w:r>
              <w:rPr>
                <w:sz w:val="28"/>
                <w:szCs w:val="28"/>
              </w:rPr>
              <w:t>Предоставление налоговой льготы (налогового расхода) категориям граждан, являющихся льготными категориям в соответствии с федеральным и областным законодательством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auto" w:line="240" w:before="0" w:after="0"/>
              <w:contextualSpacing/>
              <w:rPr/>
            </w:pPr>
            <w:r>
              <w:rPr>
                <w:sz w:val="28"/>
                <w:szCs w:val="28"/>
              </w:rPr>
              <w:t>Да</w:t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auto" w:line="240" w:before="0" w:after="0"/>
              <w:contextualSpacing/>
              <w:rPr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auto" w:line="240" w:before="0" w:after="0"/>
              <w:contextualSpacing/>
              <w:rPr/>
            </w:pPr>
            <w:r>
              <w:rPr>
                <w:sz w:val="28"/>
                <w:szCs w:val="28"/>
              </w:rPr>
              <w:t>Предоставление налоговой льготы (налогового расхода)  гражданам, оказавшимся в трудной жизненной ситуации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auto" w:line="240" w:before="0" w:after="0"/>
              <w:contextualSpacing/>
              <w:rPr/>
            </w:pPr>
            <w:r>
              <w:rPr>
                <w:sz w:val="28"/>
                <w:szCs w:val="28"/>
              </w:rPr>
              <w:t>нет</w:t>
            </w:r>
          </w:p>
        </w:tc>
      </w:tr>
      <w:tr>
        <w:trPr/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auto" w:line="240" w:before="0" w:after="0"/>
              <w:contextualSpacing/>
              <w:rPr/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auto" w:line="240" w:before="0" w:after="0"/>
              <w:contextualSpacing/>
              <w:rPr/>
            </w:pPr>
            <w:r>
              <w:rPr>
                <w:sz w:val="28"/>
                <w:szCs w:val="28"/>
              </w:rPr>
              <w:t>Общее количество выполненных критериев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auto" w:line="240" w:before="0" w:after="0"/>
              <w:contextualSpacing/>
              <w:rPr/>
            </w:pPr>
            <w:r>
              <w:rPr>
                <w:sz w:val="28"/>
                <w:szCs w:val="28"/>
              </w:rPr>
              <w:t>3</w:t>
            </w:r>
          </w:p>
        </w:tc>
      </w:tr>
    </w:tbl>
    <w:tbl>
      <w:tblPr>
        <w:tblpPr w:vertAnchor="text" w:horzAnchor="page" w:leftFromText="180" w:rightFromText="180" w:tblpX="1033" w:tblpY="1096"/>
        <w:tblW w:w="1045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675"/>
        <w:gridCol w:w="5245"/>
        <w:gridCol w:w="2410"/>
        <w:gridCol w:w="2125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exact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exact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льготы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exact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Целевая категория льготы (пониженной ставки)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exact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 оценки эффективности, тыс.руб.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exact" w:line="240" w:before="0" w:after="0"/>
              <w:ind w:left="0"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0" w:right="0" w:hanging="0"/>
              <w:jc w:val="both"/>
              <w:rPr/>
            </w:pPr>
            <w:r>
              <w:rPr>
                <w:sz w:val="28"/>
                <w:szCs w:val="28"/>
              </w:rPr>
              <w:t>Граждане, проживающие не менее 5 лет на территории Ростовской области, имеющие трех и более несовершеннолетних детей, совместно проживающих с ними, а также граждане Российской Федерации, имеющие усыновленных (удочеренных), находящихся под опекой или попечительством детей, при условиях воспитания этих детей не менее 3-х лет, в отношении земельных участков, предоставленных под индивидуальное жилищное строительство или ведения ЛПХ в соответствии со статьями 8</w:t>
            </w:r>
            <w:r>
              <w:rPr>
                <w:sz w:val="28"/>
                <w:szCs w:val="28"/>
                <w:vertAlign w:val="superscript"/>
              </w:rPr>
              <w:t xml:space="preserve">2 </w:t>
            </w:r>
            <w:r>
              <w:rPr>
                <w:sz w:val="28"/>
                <w:szCs w:val="28"/>
              </w:rPr>
              <w:t>и 8</w:t>
            </w:r>
            <w:r>
              <w:rPr>
                <w:sz w:val="28"/>
                <w:szCs w:val="28"/>
                <w:vertAlign w:val="superscript"/>
              </w:rPr>
              <w:t xml:space="preserve">3 </w:t>
            </w:r>
            <w:r>
              <w:rPr>
                <w:sz w:val="28"/>
                <w:szCs w:val="28"/>
              </w:rPr>
              <w:t>Областного закона от 22.07.2003 № 19 –ЗС «О регулировании земельных отношений в Ростовской области</w:t>
            </w:r>
            <w:r>
              <w:rPr>
                <w:color w:val="000000"/>
                <w:spacing w:val="-5"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exact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освобождение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exact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exact" w:line="240" w:before="0" w:after="0"/>
              <w:ind w:left="0"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Ветераны и инвалиды Великой Отечественной войны, члены семей военнослужащих, потерявших кормильца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exact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освобождение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exact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exact" w:line="240" w:before="0" w:after="0"/>
              <w:ind w:left="0"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Граждане Российской Федерации, проживающие на территории Зеленовского сельского поселения, имеющие детей-инвалидов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exact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освобождение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exact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>
        <w:trPr/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exact" w:line="240" w:before="0" w:after="0"/>
              <w:ind w:left="0" w:hang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240"/>
              <w:ind w:left="0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Организации, включенные в сводный реестр организаций оборонно-промышленного комплекса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exact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освобождение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exact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5643" w:leader="none"/>
          <w:tab w:val="left" w:pos="6213" w:leader="none"/>
          <w:tab w:val="left" w:pos="7125" w:leader="none"/>
        </w:tabs>
        <w:spacing w:before="0" w:after="0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Результаты оценки эффективности налоговых льгот , пониженных ставок (налоговых расходов) в Зеленовском сельском поселении</w:t>
      </w:r>
    </w:p>
    <w:p>
      <w:pPr>
        <w:pStyle w:val="Normal"/>
        <w:widowControl w:val="false"/>
        <w:tabs>
          <w:tab w:val="clear" w:pos="708"/>
          <w:tab w:val="left" w:pos="5643" w:leader="none"/>
          <w:tab w:val="left" w:pos="6213" w:leader="none"/>
          <w:tab w:val="left" w:pos="7125" w:leader="none"/>
        </w:tabs>
        <w:spacing w:before="0" w:after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427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6"/>
        <w:gridCol w:w="5214"/>
        <w:gridCol w:w="2432"/>
        <w:gridCol w:w="2104"/>
      </w:tblGrid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/>
              <w:ind w:left="0" w:right="0" w:firstLine="567"/>
              <w:jc w:val="both"/>
              <w:rPr/>
            </w:pP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</w:rPr>
              <w:t>частники специальной военной операции - граждан Российской Федерации, зарегистрированных по месту жительства на территории Ростовской области и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647; заключивших контракт о прохождении военной службы в соответствии с Федеральным законом от 28.03.1998 № 53-ФЗ «О воинской обязанности и военной службе или контракт о пребывании в добровольческом формировании (добровольном содействии в выполнении задач, возложенных на Вооруженные Силы Российской Федерации), принимающие (принимавшие) участие в специальной военной операции, а также</w:t>
            </w:r>
          </w:p>
          <w:p>
            <w:pPr>
              <w:pStyle w:val="Normal"/>
              <w:widowControl w:val="false"/>
              <w:spacing w:lineRule="auto" w:line="240"/>
              <w:ind w:left="0" w:right="0" w:hanging="0"/>
              <w:jc w:val="both"/>
              <w:rPr>
                <w:color w:val="212121"/>
                <w:sz w:val="28"/>
                <w:szCs w:val="28"/>
              </w:rPr>
            </w:pPr>
            <w:r>
              <w:rPr>
                <w:color w:val="212121"/>
                <w:sz w:val="28"/>
                <w:szCs w:val="28"/>
              </w:rPr>
              <w:t>членов семей участников специальной военной операции-супругов, несовершеннолетних детей, детей в возрасте до 23 лет, обучающихся в образовательных организациях по очной форме обучения, детей, находящихся под опекой (попечительством), родителей ( усыновителей), членов семей погибших ( умерших) участников специальной военной операции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43" w:leader="none"/>
                <w:tab w:val="left" w:pos="6213" w:leader="none"/>
                <w:tab w:val="left" w:pos="7125" w:leader="none"/>
              </w:tabs>
              <w:suppressAutoHyphens w:val="true"/>
              <w:spacing w:lineRule="exact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освобождение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4,00</w:t>
            </w:r>
          </w:p>
        </w:tc>
      </w:tr>
      <w:tr>
        <w:trPr/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rPr/>
            </w:pPr>
            <w:r>
              <w:rPr/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rPr>
                <w:b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rPr/>
            </w:pPr>
            <w:r>
              <w:rPr/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4,00</w:t>
            </w:r>
          </w:p>
        </w:tc>
      </w:tr>
    </w:tbl>
    <w:p>
      <w:pPr>
        <w:pStyle w:val="Normal"/>
        <w:widowControl w:val="false"/>
        <w:ind w:right="-1" w:firstLine="23"/>
        <w:jc w:val="both"/>
        <w:rPr>
          <w:bCs/>
          <w:color w:val="000000"/>
          <w:spacing w:val="-10"/>
          <w:sz w:val="28"/>
          <w:szCs w:val="28"/>
          <w:lang w:bidi="ru-RU"/>
        </w:rPr>
      </w:pPr>
      <w:r>
        <w:rPr>
          <w:bCs/>
          <w:color w:val="000000"/>
          <w:spacing w:val="-10"/>
          <w:sz w:val="28"/>
          <w:szCs w:val="28"/>
          <w:lang w:bidi="ru-RU"/>
        </w:rPr>
      </w:r>
    </w:p>
    <w:p>
      <w:pPr>
        <w:pStyle w:val="Normal"/>
        <w:widowControl w:val="false"/>
        <w:ind w:right="-1" w:firstLine="23"/>
        <w:jc w:val="both"/>
        <w:rPr>
          <w:bCs/>
          <w:color w:val="000000"/>
          <w:spacing w:val="-10"/>
          <w:sz w:val="28"/>
          <w:szCs w:val="28"/>
          <w:lang w:bidi="ru-RU"/>
        </w:rPr>
      </w:pPr>
      <w:r>
        <w:rPr>
          <w:bCs/>
          <w:color w:val="000000"/>
          <w:spacing w:val="-10"/>
          <w:sz w:val="28"/>
          <w:szCs w:val="28"/>
          <w:lang w:bidi="ru-RU"/>
        </w:rPr>
        <w:t xml:space="preserve">Социальная эффективность определяется социальной направленностью предоставленных </w:t>
      </w:r>
    </w:p>
    <w:p>
      <w:pPr>
        <w:pStyle w:val="Normal"/>
        <w:widowControl w:val="false"/>
        <w:ind w:right="-1" w:firstLine="23"/>
        <w:jc w:val="both"/>
        <w:rPr>
          <w:bCs/>
          <w:color w:val="000000"/>
          <w:spacing w:val="-10"/>
          <w:sz w:val="28"/>
          <w:szCs w:val="28"/>
          <w:lang w:bidi="ru-RU"/>
        </w:rPr>
      </w:pPr>
      <w:r>
        <w:rPr>
          <w:bCs/>
          <w:color w:val="000000"/>
          <w:spacing w:val="-10"/>
          <w:sz w:val="28"/>
          <w:szCs w:val="28"/>
          <w:lang w:bidi="ru-RU"/>
        </w:rPr>
        <w:t xml:space="preserve">налоговых льгот и признана приемлемой (достаточной), кроме того направлена на повышение уровня жизни населения (поддержка Социальная эффективность определяется социальной направленностью предоставленных налоговых льгот и признана приемлемой (достаточной), кроме того направлена на повышение уровня жизни населения (поддержка малообеспеченных и социально незащищенных категорий граждан, повышение покупательской способности населения, снижение доли расходов на уплату обязательных платежей).  </w:t>
      </w:r>
    </w:p>
    <w:p>
      <w:pPr>
        <w:pStyle w:val="Normal"/>
        <w:widowControl w:val="false"/>
        <w:ind w:right="-1" w:firstLine="2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Предоставленная налоговая льгота по земельному налогу относится к</w:t>
        <w:br/>
        <w:t>социальным налоговым расходам.</w:t>
        <w:br/>
        <w:t>Целью налогового расхода является социальная поддержка населения.</w:t>
        <w:br/>
        <w:t>Применение налогового расхода способствуют снижению налогового</w:t>
        <w:br/>
        <w:t>бремени населения, повышению уровня и качества жизни граждан, снижению социального неравенства, что соответствует направлению социально-экономической политики муниципального образования.</w:t>
        <w:br/>
      </w:r>
    </w:p>
    <w:p>
      <w:pPr>
        <w:pStyle w:val="Normal"/>
        <w:widowControl w:val="false"/>
        <w:tabs>
          <w:tab w:val="clear" w:pos="708"/>
          <w:tab w:val="left" w:pos="610" w:leader="none"/>
        </w:tabs>
        <w:jc w:val="center"/>
        <w:rPr>
          <w:b/>
          <w:b/>
          <w:bCs/>
          <w:color w:val="000000"/>
          <w:spacing w:val="-10"/>
          <w:sz w:val="28"/>
          <w:szCs w:val="28"/>
          <w:lang w:bidi="ru-RU"/>
        </w:rPr>
      </w:pPr>
      <w:r>
        <w:rPr>
          <w:b/>
          <w:bCs/>
          <w:color w:val="000000"/>
          <w:spacing w:val="-10"/>
          <w:sz w:val="28"/>
          <w:szCs w:val="28"/>
          <w:lang w:bidi="ru-RU"/>
        </w:rPr>
        <w:t>Предложения по сохранению, корректировке или отмене налоговых льгот.</w:t>
      </w:r>
    </w:p>
    <w:p>
      <w:pPr>
        <w:pStyle w:val="Normal"/>
        <w:widowControl w:val="false"/>
        <w:tabs>
          <w:tab w:val="clear" w:pos="708"/>
          <w:tab w:val="left" w:pos="610" w:leader="none"/>
        </w:tabs>
        <w:jc w:val="center"/>
        <w:rPr>
          <w:b/>
          <w:b/>
          <w:bCs/>
          <w:color w:val="000000"/>
          <w:spacing w:val="-10"/>
          <w:sz w:val="28"/>
          <w:szCs w:val="28"/>
          <w:lang w:bidi="ru-RU"/>
        </w:rPr>
      </w:pPr>
      <w:r>
        <w:rPr>
          <w:b/>
          <w:bCs/>
          <w:color w:val="000000"/>
          <w:spacing w:val="-10"/>
          <w:sz w:val="28"/>
          <w:szCs w:val="28"/>
          <w:lang w:bidi="ru-RU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Предоставленная налоговая льгота по земельному налогу относится к</w:t>
        <w:br/>
        <w:t>социальным налоговым расходам. Целью налогового расхода является социальная поддержка населения. Применение налогового расхода способствуют снижению налогового бремени населения, повышению уровня и качества жизни граждан, снижению социального неравенства, что соответствует направлению социально экономической политики муниципального образования.</w:t>
        <w:br/>
        <w:t xml:space="preserve">        Предоставление данного вида льгот носит заявительный характер.</w:t>
        <w:br/>
      </w:r>
      <w:r>
        <w:rPr>
          <w:rFonts w:ascii="Times New Roman" w:hAnsi="Times New Roman"/>
          <w:spacing w:val="-10"/>
          <w:sz w:val="28"/>
          <w:szCs w:val="28"/>
          <w:lang w:bidi="ru-RU"/>
        </w:rPr>
        <w:t xml:space="preserve">         По результатам проведённой оценки эффективности и обоснованности налоговых льгот по земельному налогу принятые льготы признать эффективными. Чтобы не допустить в дальнейшем ухудшения уровня жизни у социально-незащищенных слоев населения, целесообразно сохранить имеющиеся льготы. </w:t>
      </w:r>
      <w:r>
        <w:rPr>
          <w:rFonts w:ascii="Times New Roman" w:hAnsi="Times New Roman"/>
          <w:sz w:val="28"/>
          <w:szCs w:val="28"/>
        </w:rPr>
        <w:t>Налоговые льготы по земельному налогу и налогу на имущество физичеких лиц, предоставленные в виде полного освобождения от уплаты налога отдельным категориям налогоплательщиков, относящимся к социально незащищенным группам населения, не носит экономического характера и не оказывает отрицательного влияния на показатели достижения целей социально-экономической политики, его эффективность определяется социальной значимостью.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  <w:t xml:space="preserve">            Вывод: поскольку налоговый расход носит социальный характер,</w:t>
        <w:br/>
        <w:t>направлен на поддержку социально незащищенных групп населения,</w:t>
        <w:br/>
        <w:t>отвечает общественным интересам, способствует решению социальных</w:t>
        <w:br/>
        <w:t>задач экономической политики Зеленовского сельского поселения по повышению уровня и</w:t>
        <w:br/>
        <w:t>качества жизни отдельных категорий граждан, является востребованным, целесообразным, не оказывает отрицательного влияния на экономическое развитие Зеленовского сельского поселения и имеет положительную бюджетную эффективность, его действие в 2024 году признано эффективным и нетребующими отмены.</w:t>
        <w:br/>
      </w:r>
      <w:bookmarkStart w:id="0" w:name="_GoBack"/>
      <w:bookmarkEnd w:id="0"/>
    </w:p>
    <w:sectPr>
      <w:type w:val="nextPage"/>
      <w:pgSz w:w="11906" w:h="16838"/>
      <w:pgMar w:left="988" w:right="546" w:gutter="0" w:header="0" w:top="1134" w:footer="0" w:bottom="50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G Souvenir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c06e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9c06e4"/>
    <w:pPr>
      <w:keepNext w:val="true"/>
      <w:spacing w:lineRule="exact" w:line="220"/>
      <w:jc w:val="center"/>
      <w:outlineLvl w:val="0"/>
    </w:pPr>
    <w:rPr>
      <w:rFonts w:ascii="AG Souvenir" w:hAnsi="AG Souvenir"/>
      <w:b/>
      <w:spacing w:val="38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9c06e4"/>
    <w:rPr>
      <w:rFonts w:ascii="AG Souvenir" w:hAnsi="AG Souvenir" w:eastAsia="Times New Roman" w:cs="Times New Roman"/>
      <w:b/>
      <w:spacing w:val="38"/>
      <w:sz w:val="28"/>
      <w:szCs w:val="20"/>
      <w:lang w:eastAsia="ru-RU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qFormat/>
    <w:rsid w:val="009c06e4"/>
    <w:pPr>
      <w:spacing w:beforeAutospacing="1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9c06e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Application>LibreOffice/7.4.2.3$Windows_X86_64 LibreOffice_project/382eef1f22670f7f4118c8c2dd222ec7ad009daf</Application>
  <AppVersion>15.0000</AppVersion>
  <Pages>6</Pages>
  <Words>1371</Words>
  <Characters>10254</Characters>
  <CharactersWithSpaces>11667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2022-09-15T12:36:00Z</dcterms:created>
  <dc:creator>User</dc:creator>
  <dc:description/>
  <dc:language>ru-RU</dc:language>
  <cp:lastModifiedBy/>
  <dcterms:modified xsi:type="dcterms:W3CDTF">2025-08-19T15:21:09Z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