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C5" w:rsidRDefault="00F6095D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365C5" w:rsidRDefault="00F6095D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2365C5" w:rsidRDefault="00F6095D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2365C5" w:rsidRDefault="00F6095D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«ЗЕЛЕНОВСКОЕ СЕЛЬСКОЕ ПОСЕЛЕНИЕ»</w:t>
      </w:r>
    </w:p>
    <w:p w:rsidR="002365C5" w:rsidRDefault="00F6095D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ЗЕЛЕНОВСКОГО СЕЛЬСКОГО ПОСЕЛЕНИЯ</w:t>
      </w:r>
    </w:p>
    <w:p w:rsidR="002365C5" w:rsidRDefault="00236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F6095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365C5" w:rsidRDefault="00236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5C5" w:rsidRDefault="00A97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15.02.2024</w:t>
      </w:r>
      <w:r w:rsidR="00F60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17</w:t>
      </w:r>
      <w:r w:rsidR="00F60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proofErr w:type="spellStart"/>
      <w:r w:rsidR="00F6095D">
        <w:rPr>
          <w:rFonts w:ascii="Times New Roman" w:eastAsia="Times New Roman" w:hAnsi="Times New Roman" w:cs="Times New Roman"/>
          <w:sz w:val="28"/>
          <w:szCs w:val="28"/>
          <w:lang w:eastAsia="ru-RU"/>
        </w:rPr>
        <w:t>х.Зеленовка</w:t>
      </w:r>
      <w:proofErr w:type="spellEnd"/>
    </w:p>
    <w:p w:rsidR="002365C5" w:rsidRDefault="00236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5C5" w:rsidRDefault="00F6095D">
      <w:pPr>
        <w:spacing w:after="0" w:line="240" w:lineRule="auto"/>
        <w:ind w:right="567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 реализации</w:t>
      </w:r>
    </w:p>
    <w:p w:rsidR="002365C5" w:rsidRDefault="00F6095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«Защита </w:t>
      </w:r>
    </w:p>
    <w:p w:rsidR="002365C5" w:rsidRDefault="00F6095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и территории от чрезвычайных</w:t>
      </w:r>
    </w:p>
    <w:p w:rsidR="002365C5" w:rsidRDefault="00F6095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ситуаций, обеспечение пожарной безопасности</w:t>
      </w:r>
    </w:p>
    <w:p w:rsidR="002365C5" w:rsidRDefault="00F6095D">
      <w:pPr>
        <w:spacing w:after="0" w:line="240" w:lineRule="auto"/>
        <w:ind w:right="567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75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на водных объектах за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365C5" w:rsidRDefault="002365C5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2365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F6095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29.12.2018 г. № 95"Об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2365C5" w:rsidRDefault="002365C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65C5" w:rsidRDefault="00F6095D">
      <w:pPr>
        <w:snapToGri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мун</w:t>
      </w:r>
      <w:r w:rsidR="00A97751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 за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29.12.2018 г. № 101 «Об утверждении 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«Защита населения и территории от чрезвычайных ситуаций, обеспечение пожарной безопасности</w:t>
      </w:r>
      <w:r w:rsidR="00A97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на водных объектах», согласно приложению 1.</w:t>
      </w:r>
    </w:p>
    <w:p w:rsidR="002365C5" w:rsidRDefault="00F6095D">
      <w:pPr>
        <w:snapToGri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 (Обнародования). </w:t>
      </w:r>
    </w:p>
    <w:p w:rsidR="002365C5" w:rsidRDefault="00F6095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2365C5" w:rsidRDefault="00236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5C5" w:rsidRDefault="00236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2365C5" w:rsidRDefault="00F6095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Администрации</w:t>
      </w:r>
    </w:p>
    <w:p w:rsidR="002365C5" w:rsidRDefault="00F6095D">
      <w:pPr>
        <w:spacing w:after="0" w:line="240" w:lineRule="auto"/>
        <w:sectPr w:rsidR="002365C5">
          <w:footerReference w:type="default" r:id="rId8"/>
          <w:pgSz w:w="11906" w:h="16838"/>
          <w:pgMar w:top="822" w:right="706" w:bottom="992" w:left="1418" w:header="0" w:footer="187" w:gutter="0"/>
          <w:cols w:space="720"/>
          <w:formProt w:val="0"/>
          <w:docGrid w:linePitch="299" w:charSpace="4096"/>
        </w:sect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Т.И.Обухова</w:t>
      </w:r>
      <w:proofErr w:type="spellEnd"/>
    </w:p>
    <w:p w:rsidR="002365C5" w:rsidRDefault="00236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65" w:type="dxa"/>
        <w:jc w:val="right"/>
        <w:tblLayout w:type="fixed"/>
        <w:tblLook w:val="0000" w:firstRow="0" w:lastRow="0" w:firstColumn="0" w:lastColumn="0" w:noHBand="0" w:noVBand="0"/>
      </w:tblPr>
      <w:tblGrid>
        <w:gridCol w:w="4388"/>
        <w:gridCol w:w="5777"/>
      </w:tblGrid>
      <w:tr w:rsidR="002365C5">
        <w:trPr>
          <w:jc w:val="right"/>
        </w:trPr>
        <w:tc>
          <w:tcPr>
            <w:tcW w:w="4388" w:type="dxa"/>
            <w:shd w:val="clear" w:color="auto" w:fill="auto"/>
          </w:tcPr>
          <w:p w:rsidR="002365C5" w:rsidRDefault="002365C5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  <w:p w:rsidR="002365C5" w:rsidRDefault="00F6095D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2365C5" w:rsidRDefault="00A97751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15.02.2024 г. №17</w:t>
            </w:r>
          </w:p>
        </w:tc>
      </w:tr>
    </w:tbl>
    <w:p w:rsidR="002365C5" w:rsidRDefault="00F6095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2365C5" w:rsidRDefault="00F6095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«Защита населения и территории от чрезвычайных ситуаций, обеспечение пожарной безопасности </w:t>
      </w:r>
      <w:r w:rsidR="00A97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97751"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юдей на водных объектах» за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365C5" w:rsidRDefault="00236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</w:t>
      </w: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Конкретные результаты реализации муниципальной программы, </w:t>
      </w: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достигнутые за 2023 год.</w:t>
      </w:r>
    </w:p>
    <w:p w:rsidR="002365C5" w:rsidRDefault="002365C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F6095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населения и территории от чрезвычайных ситуаций, обеспечение пожарной безопасности </w:t>
      </w:r>
      <w:r w:rsidR="00A97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безопасности </w:t>
      </w:r>
      <w:r w:rsidR="00232C2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на водных объектах»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была утверждена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C2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29.12.2018 </w:t>
      </w:r>
      <w:r>
        <w:rPr>
          <w:rFonts w:ascii="Times New Roman" w:eastAsia="Times New Roman" w:hAnsi="Times New Roman" w:cs="Times New Roman"/>
          <w:sz w:val="28"/>
          <w:szCs w:val="28"/>
        </w:rPr>
        <w:t>г. №101.</w:t>
      </w:r>
    </w:p>
    <w:p w:rsidR="002365C5" w:rsidRDefault="00F6095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Данная программа направлена на достижение следующей цели:</w:t>
      </w:r>
    </w:p>
    <w:p w:rsidR="002365C5" w:rsidRDefault="00F6095D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пожаров.</w:t>
      </w:r>
    </w:p>
    <w:p w:rsidR="002365C5" w:rsidRDefault="00F6095D">
      <w:pPr>
        <w:shd w:val="clear" w:color="auto" w:fill="FFFFFF"/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Задачи программы:</w:t>
      </w:r>
    </w:p>
    <w:p w:rsidR="002365C5" w:rsidRDefault="00F6095D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- обеспечение эффективного предупреждения и ликвидации пожаров;</w:t>
      </w:r>
    </w:p>
    <w:p w:rsidR="002365C5" w:rsidRDefault="00F6095D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- организация работы по предупреждению и пресечению нарушений требований пожарной безопасности; </w:t>
      </w:r>
    </w:p>
    <w:p w:rsidR="002365C5" w:rsidRDefault="00F6095D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- создание и обеспечение современной эффективной системы обеспечения вызова экстренных оперативных служб. </w:t>
      </w:r>
    </w:p>
    <w:p w:rsidR="002365C5" w:rsidRDefault="00F609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уровня пожарной безопасности населения и территории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были приобретены первичные средства пожаротушения. </w:t>
      </w:r>
    </w:p>
    <w:p w:rsidR="002365C5" w:rsidRDefault="002365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2365C5" w:rsidRDefault="002365C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F6095D">
      <w:pPr>
        <w:pStyle w:val="ac"/>
        <w:jc w:val="right"/>
      </w:pPr>
      <w:r>
        <w:rPr>
          <w:sz w:val="28"/>
          <w:szCs w:val="28"/>
        </w:rPr>
        <w:t>Реализация основ</w:t>
      </w:r>
      <w:r w:rsidR="00A97751">
        <w:rPr>
          <w:sz w:val="28"/>
          <w:szCs w:val="28"/>
        </w:rPr>
        <w:t>ных мероприятий Программы в 2023</w:t>
      </w:r>
      <w:r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от 29.12.2022 г № 117.</w:t>
      </w:r>
    </w:p>
    <w:p w:rsidR="002365C5" w:rsidRDefault="00F6095D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2365C5" w:rsidRDefault="00A97751">
      <w:pPr>
        <w:spacing w:before="30" w:after="3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Подпрограмма 1 – «</w:t>
      </w:r>
      <w:r w:rsidR="00F6095D">
        <w:rPr>
          <w:rFonts w:ascii="Times New Roman" w:hAnsi="Times New Roman" w:cs="Times New Roman"/>
          <w:sz w:val="28"/>
          <w:szCs w:val="28"/>
        </w:rPr>
        <w:t>Обеспечение п</w:t>
      </w:r>
      <w:r w:rsidR="00F6095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ожарной безопасности</w:t>
      </w:r>
      <w:r w:rsidR="00F6095D">
        <w:rPr>
          <w:rFonts w:ascii="Times New Roman" w:hAnsi="Times New Roman" w:cs="Times New Roman"/>
          <w:sz w:val="28"/>
          <w:szCs w:val="28"/>
        </w:rPr>
        <w:t>».</w:t>
      </w:r>
    </w:p>
    <w:p w:rsidR="002365C5" w:rsidRDefault="00F6095D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целей и решения задач муниципальной программы в отчетном периоде в подпрограмме 1 было предусмотрено 1 основное мероприятие.  </w:t>
      </w:r>
    </w:p>
    <w:p w:rsidR="002365C5" w:rsidRDefault="00F6095D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подпрограмме 1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пожарной безопасности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365C5" w:rsidRDefault="00F6095D">
      <w:pPr>
        <w:widowControl w:val="0"/>
        <w:numPr>
          <w:ilvl w:val="1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«Мероприятия по обеспечению пожарной безопасности». Данное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мероприятие выполнено на 100 %.</w:t>
      </w:r>
    </w:p>
    <w:p w:rsidR="002365C5" w:rsidRDefault="002365C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факторов, повлиявших на ход реализации </w:t>
      </w: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программы.</w:t>
      </w:r>
    </w:p>
    <w:p w:rsidR="002365C5" w:rsidRDefault="002365C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факторами, повлиявшими на ход реализации муниципальной программы, являются:</w:t>
      </w:r>
    </w:p>
    <w:p w:rsidR="002365C5" w:rsidRDefault="00F6095D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 по пожарной безопасности с целью недопущения пожаров в быту;</w:t>
      </w:r>
    </w:p>
    <w:p w:rsidR="002365C5" w:rsidRDefault="00F6095D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приглашения в общеобразовательные учреждения для проведения занятий с учащимися;</w:t>
      </w:r>
    </w:p>
    <w:p w:rsidR="002365C5" w:rsidRDefault="00F6095D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среди населения безопасности жизнедеятельности и обучение действиям при возникновении пожаров».</w:t>
      </w:r>
    </w:p>
    <w:p w:rsidR="002365C5" w:rsidRDefault="002365C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</w:t>
      </w:r>
    </w:p>
    <w:p w:rsidR="002365C5" w:rsidRDefault="00F6095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об использовании бюджетных ассигнований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внебюджетных средств на выполнение основных мероприятий </w:t>
      </w:r>
    </w:p>
    <w:p w:rsidR="002365C5" w:rsidRDefault="00F6095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 муниципальной программы</w:t>
      </w:r>
    </w:p>
    <w:p w:rsidR="002365C5" w:rsidRDefault="0023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 на реализацию муниципальной программы в 2023 году по плану составил 25,0 тыс. руб., израсходовано 25,0 тыс. руб. (100%).</w:t>
      </w:r>
    </w:p>
    <w:p w:rsidR="002365C5" w:rsidRDefault="00F6095D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По подпрограмме 1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плану- 25,0 тыс. рублей, по факту израсходовано 25,0 тыс. рублей.</w:t>
      </w:r>
    </w:p>
    <w:p w:rsidR="002365C5" w:rsidRDefault="00F6095D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использовании бюджетных ассигнований и внебюджетных источников на реализацию муниципальной программы за 2023 год приведены в таблице к настоящему отчету.</w:t>
      </w:r>
    </w:p>
    <w:p w:rsidR="002365C5" w:rsidRDefault="002365C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</w:t>
      </w: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Сведения о достижении значений показателей (индикаторов) </w:t>
      </w: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программы, подпрограмм</w:t>
      </w:r>
      <w:r w:rsidR="0023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программы за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2365C5" w:rsidRDefault="002365C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365C5" w:rsidRDefault="00F6095D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было запланировано достижение 3 показателей (индикаторов).</w:t>
      </w:r>
    </w:p>
    <w:p w:rsidR="002365C5" w:rsidRDefault="00F6095D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имеет следующие целевые показатели:</w:t>
      </w:r>
    </w:p>
    <w:p w:rsidR="002365C5" w:rsidRDefault="00F6095D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Показатель 1.1.</w:t>
      </w:r>
      <w:r w:rsidR="00232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выездов на пожары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5C5" w:rsidRDefault="00F6095D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Показатель 1.2.</w:t>
      </w:r>
      <w:r w:rsidR="00232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спасенных людей и которым оказана помощь при пожарах.</w:t>
      </w:r>
    </w:p>
    <w:p w:rsidR="002365C5" w:rsidRDefault="00F6095D">
      <w:pPr>
        <w:widowControl w:val="0"/>
        <w:spacing w:after="0" w:line="240" w:lineRule="auto"/>
        <w:ind w:left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Показатель 1.3. Доля населения, охваченного системой оповещения.</w:t>
      </w:r>
    </w:p>
    <w:p w:rsidR="002365C5" w:rsidRDefault="00F6095D">
      <w:pPr>
        <w:widowControl w:val="0"/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достижении значений показателей (индикаторов) муниципальной </w:t>
      </w:r>
      <w:r w:rsidR="00232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отражены в 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отчету.</w:t>
      </w:r>
    </w:p>
    <w:p w:rsidR="002365C5" w:rsidRDefault="002365C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2365C5" w:rsidRDefault="002365C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365C5" w:rsidRDefault="00F6095D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Эффективность реализаци</w:t>
      </w:r>
      <w:r w:rsidR="00232C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муниципальной программы в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2365C5" w:rsidRDefault="00F6095D">
      <w:pPr>
        <w:shd w:val="clear" w:color="auto" w:fill="FFFFFF"/>
        <w:spacing w:after="0" w:line="272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программы:</w:t>
      </w:r>
    </w:p>
    <w:p w:rsidR="002365C5" w:rsidRDefault="00F6095D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(индикатора) 1.1 равно 1,0;</w:t>
      </w:r>
    </w:p>
    <w:p w:rsidR="002365C5" w:rsidRDefault="00F6095D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(индикатора) 1.2 равно 1,0;</w:t>
      </w:r>
    </w:p>
    <w:p w:rsidR="002365C5" w:rsidRDefault="00F6095D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(индикатора) 1.3 равно 1,0;</w:t>
      </w:r>
    </w:p>
    <w:p w:rsidR="002365C5" w:rsidRDefault="00F6095D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(индикатора) 2.1 равно 1,0;</w:t>
      </w:r>
    </w:p>
    <w:p w:rsidR="002365C5" w:rsidRDefault="00F6095D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(индикатора) 2.2 равно 1,0;</w:t>
      </w:r>
    </w:p>
    <w:p w:rsidR="002365C5" w:rsidRDefault="00F6095D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(индикатора) 2.3 равно 1,0.</w:t>
      </w:r>
    </w:p>
    <w:p w:rsidR="002365C5" w:rsidRDefault="00F6095D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= 1,0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365C5" w:rsidRDefault="00F6095D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365C5" w:rsidRDefault="00F6095D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мероприятий), финансируемых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безвозмездных поступлений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=1,0, что характеризует высокий уровень эффективности реализации муниципальной программы по степени реализации мероприятий.</w:t>
      </w:r>
    </w:p>
    <w:p w:rsidR="002365C5" w:rsidRDefault="00F6095D">
      <w:pPr>
        <w:numPr>
          <w:ilvl w:val="0"/>
          <w:numId w:val="1"/>
        </w:numPr>
        <w:spacing w:after="0" w:line="240" w:lineRule="auto"/>
        <w:ind w:left="709"/>
      </w:pPr>
      <w:r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сходов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безвозмездных поступлений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365C5" w:rsidRDefault="00F6095D">
      <w:pPr>
        <w:spacing w:after="0" w:line="240" w:lineRule="auto"/>
        <w:ind w:left="709"/>
      </w:pPr>
      <w:proofErr w:type="spellStart"/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232C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5,0/</w:t>
      </w:r>
      <w:r w:rsidR="00232C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5,0 = 1</w:t>
      </w:r>
    </w:p>
    <w:p w:rsidR="002365C5" w:rsidRDefault="00F6095D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безвозмездных поступлений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 /1 = 1. Бюджетная эффективность реализации программы признана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высокая .</w:t>
      </w:r>
      <w:proofErr w:type="gramEnd"/>
    </w:p>
    <w:p w:rsidR="002365C5" w:rsidRDefault="00F6095D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Уровень реализации муниципальной программы: </w:t>
      </w:r>
    </w:p>
    <w:p w:rsidR="002365C5" w:rsidRDefault="00F6095D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 0,2</w:t>
      </w:r>
    </w:p>
    <w:p w:rsidR="002365C5" w:rsidRDefault="00F6095D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2365C5" w:rsidRDefault="00F6095D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0,5+1 х 0,3+1 х 0,2=1</w:t>
      </w:r>
    </w:p>
    <w:p w:rsidR="002365C5" w:rsidRDefault="002365C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365C5" w:rsidRDefault="00F6095D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365C5" w:rsidRDefault="002365C5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7. </w:t>
      </w:r>
    </w:p>
    <w:p w:rsidR="002365C5" w:rsidRDefault="00F6095D">
      <w:pPr>
        <w:widowControl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Предложения по дальнейшей реализации муниципальной программы.</w:t>
      </w:r>
    </w:p>
    <w:p w:rsidR="002365C5" w:rsidRDefault="00F6095D">
      <w:pPr>
        <w:widowControl w:val="0"/>
        <w:tabs>
          <w:tab w:val="left" w:pos="705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365C5" w:rsidRDefault="00F6095D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 от 28.12.2023 г. № 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145  утвержден</w:t>
      </w:r>
      <w:proofErr w:type="gram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план реализации муниципальной программы на 2024 год.</w:t>
      </w:r>
    </w:p>
    <w:p w:rsidR="002365C5" w:rsidRDefault="00F6095D">
      <w:pPr>
        <w:widowControl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Собрания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27.12.2023 г. № 66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на 2024 год и на плановый период 2025 и 2026 годов» утверждены плановые ассигнования на реализацию основных мероприятий муниципальной программы в 2024-2026 годах.</w:t>
      </w: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5C5" w:rsidRDefault="00236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5C5" w:rsidRDefault="002365C5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365C5">
          <w:footerReference w:type="default" r:id="rId9"/>
          <w:pgSz w:w="11906" w:h="16838"/>
          <w:pgMar w:top="426" w:right="565" w:bottom="284" w:left="1276" w:header="0" w:footer="187" w:gutter="0"/>
          <w:cols w:space="720"/>
          <w:formProt w:val="0"/>
          <w:docGrid w:linePitch="299" w:charSpace="4096"/>
        </w:sectPr>
      </w:pPr>
    </w:p>
    <w:p w:rsidR="002365C5" w:rsidRDefault="00F6095D">
      <w:pPr>
        <w:widowControl w:val="0"/>
        <w:spacing w:after="0" w:line="240" w:lineRule="auto"/>
        <w:jc w:val="center"/>
      </w:pPr>
      <w:bookmarkStart w:id="1" w:name="Par28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2365C5" w:rsidRDefault="00F6095D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2365C5" w:rsidRDefault="00F6095D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</w:p>
    <w:p w:rsidR="002365C5" w:rsidRDefault="00F6095D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 г.</w:t>
      </w:r>
    </w:p>
    <w:tbl>
      <w:tblPr>
        <w:tblW w:w="15360" w:type="dxa"/>
        <w:tblInd w:w="-343" w:type="dxa"/>
        <w:tblLayout w:type="fixed"/>
        <w:tblLook w:val="0000" w:firstRow="0" w:lastRow="0" w:firstColumn="0" w:lastColumn="0" w:noHBand="0" w:noVBand="0"/>
      </w:tblPr>
      <w:tblGrid>
        <w:gridCol w:w="710"/>
        <w:gridCol w:w="3686"/>
        <w:gridCol w:w="1985"/>
        <w:gridCol w:w="1417"/>
        <w:gridCol w:w="1416"/>
        <w:gridCol w:w="1420"/>
        <w:gridCol w:w="1384"/>
        <w:gridCol w:w="1592"/>
        <w:gridCol w:w="1750"/>
      </w:tblGrid>
      <w:tr w:rsidR="002365C5">
        <w:trPr>
          <w:trHeight w:val="5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2365C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5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65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пожарной безопасности»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опера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возможно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стей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опера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возможно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стей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5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опера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возможно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стей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опера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возможно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стей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365C5" w:rsidRDefault="002365C5">
      <w:pPr>
        <w:sectPr w:rsidR="002365C5">
          <w:footerReference w:type="default" r:id="rId10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 w:charSpace="4096"/>
        </w:sectPr>
      </w:pPr>
    </w:p>
    <w:p w:rsidR="002365C5" w:rsidRDefault="00F6095D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365C5" w:rsidRDefault="00F6095D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365C5" w:rsidRDefault="00F6095D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муниципальной программы за 2023 г.</w:t>
      </w:r>
    </w:p>
    <w:p w:rsidR="002365C5" w:rsidRDefault="002365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24" w:type="dxa"/>
        <w:tblInd w:w="-2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1"/>
        <w:gridCol w:w="993"/>
        <w:gridCol w:w="992"/>
        <w:gridCol w:w="1043"/>
      </w:tblGrid>
      <w:tr w:rsidR="002365C5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2365C5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2365C5" w:rsidRDefault="00236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5C5" w:rsidRDefault="002365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826" w:type="dxa"/>
        <w:tblInd w:w="-2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1044"/>
      </w:tblGrid>
      <w:tr w:rsidR="002365C5">
        <w:trPr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5C5">
        <w:trPr>
          <w:trHeight w:val="32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365C5">
        <w:trPr>
          <w:trHeight w:val="32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30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365C5">
        <w:trPr>
          <w:trHeight w:val="38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31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65C5">
        <w:trPr>
          <w:trHeight w:val="2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4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4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4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365C5">
        <w:trPr>
          <w:trHeight w:val="27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32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пожарной безопасности»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365C5">
        <w:trPr>
          <w:trHeight w:val="32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4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36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33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65C5">
        <w:trPr>
          <w:trHeight w:val="39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39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39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39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365C5">
        <w:trPr>
          <w:trHeight w:val="2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  <w:p w:rsidR="002365C5" w:rsidRDefault="00F6095D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пожарного оборудования и снаряжения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365C5">
        <w:trPr>
          <w:trHeight w:val="2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365C5">
          <w:footerReference w:type="default" r:id="rId11"/>
          <w:pgSz w:w="11906" w:h="16838"/>
          <w:pgMar w:top="822" w:right="284" w:bottom="992" w:left="709" w:header="0" w:footer="188" w:gutter="0"/>
          <w:pgNumType w:start="36"/>
          <w:cols w:space="720"/>
          <w:formProt w:val="0"/>
          <w:docGrid w:linePitch="299" w:charSpace="4096"/>
        </w:sectPr>
      </w:pPr>
    </w:p>
    <w:p w:rsidR="002365C5" w:rsidRDefault="002365C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5C5" w:rsidRDefault="00F6095D">
      <w:pPr>
        <w:widowControl w:val="0"/>
        <w:shd w:val="clear" w:color="auto" w:fill="FFFFFF"/>
        <w:spacing w:after="0" w:line="240" w:lineRule="auto"/>
        <w:jc w:val="center"/>
      </w:pPr>
      <w:bookmarkStart w:id="2" w:name="Par1422"/>
      <w:bookmarkEnd w:id="2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365C5" w:rsidRDefault="00F6095D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о достижении значений показателей (индикаторов)</w:t>
      </w:r>
    </w:p>
    <w:p w:rsidR="002365C5" w:rsidRDefault="002365C5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855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50"/>
        <w:gridCol w:w="1276"/>
        <w:gridCol w:w="2125"/>
        <w:gridCol w:w="1276"/>
        <w:gridCol w:w="1276"/>
        <w:gridCol w:w="2613"/>
      </w:tblGrid>
      <w:tr w:rsidR="002365C5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2365C5" w:rsidRDefault="002365C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2365C5">
        <w:trPr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5C5">
        <w:trPr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5C5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65C5">
        <w:trPr>
          <w:trHeight w:val="313"/>
          <w:jc w:val="center"/>
        </w:trPr>
        <w:tc>
          <w:tcPr>
            <w:tcW w:w="138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«Обеспечение пожарной безопасности»</w:t>
            </w:r>
          </w:p>
        </w:tc>
      </w:tr>
      <w:tr w:rsidR="002365C5">
        <w:trPr>
          <w:trHeight w:val="313"/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1.1.</w:t>
            </w:r>
          </w:p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выездов на пожары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5C5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1.2.</w:t>
            </w:r>
          </w:p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спасенных людей и которым оказана помощь при пожарах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5C5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1.3.</w:t>
            </w:r>
          </w:p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охваченного системой оповещения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5C5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2365C5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пожарной безопасности»</w:t>
            </w:r>
          </w:p>
        </w:tc>
      </w:tr>
      <w:tr w:rsidR="002365C5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1.1.</w:t>
            </w:r>
          </w:p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выездов на пожары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5C5">
        <w:trPr>
          <w:trHeight w:val="1069"/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1.2.</w:t>
            </w:r>
          </w:p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спасенных людей и которым оказана помощь при пожарах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5C5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1.3.</w:t>
            </w:r>
          </w:p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охваченного системой оповещения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5" w:rsidRDefault="00F6095D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365C5" w:rsidRDefault="002365C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62"/>
      <w:bookmarkEnd w:id="3"/>
    </w:p>
    <w:p w:rsidR="002365C5" w:rsidRDefault="002365C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5C5" w:rsidRDefault="002365C5"/>
    <w:p w:rsidR="002365C5" w:rsidRDefault="002365C5"/>
    <w:sectPr w:rsidR="002365C5">
      <w:footerReference w:type="default" r:id="rId12"/>
      <w:pgSz w:w="16838" w:h="11906" w:orient="landscape"/>
      <w:pgMar w:top="1701" w:right="1134" w:bottom="850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4A" w:rsidRDefault="007A214A">
      <w:pPr>
        <w:spacing w:after="0" w:line="240" w:lineRule="auto"/>
      </w:pPr>
      <w:r>
        <w:separator/>
      </w:r>
    </w:p>
  </w:endnote>
  <w:endnote w:type="continuationSeparator" w:id="0">
    <w:p w:rsidR="007A214A" w:rsidRDefault="007A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5D" w:rsidRDefault="00F6095D">
    <w:pPr>
      <w:pStyle w:val="ab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5D" w:rsidRDefault="00F6095D">
    <w:pPr>
      <w:pStyle w:val="ab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5D" w:rsidRDefault="00F6095D">
    <w:pPr>
      <w:pStyle w:val="ab"/>
      <w:jc w:val="right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5D" w:rsidRDefault="00F6095D">
    <w:pPr>
      <w:pStyle w:val="ab"/>
      <w:jc w:val="right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5D" w:rsidRDefault="00F6095D">
    <w:pPr>
      <w:pStyle w:val="ab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4A" w:rsidRDefault="007A214A">
      <w:pPr>
        <w:spacing w:after="0" w:line="240" w:lineRule="auto"/>
      </w:pPr>
      <w:r>
        <w:separator/>
      </w:r>
    </w:p>
  </w:footnote>
  <w:footnote w:type="continuationSeparator" w:id="0">
    <w:p w:rsidR="007A214A" w:rsidRDefault="007A2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6B52"/>
    <w:multiLevelType w:val="multilevel"/>
    <w:tmpl w:val="F6ACCCFC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CF29EA"/>
    <w:multiLevelType w:val="multilevel"/>
    <w:tmpl w:val="6BE0083A"/>
    <w:lvl w:ilvl="0">
      <w:start w:val="1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/>
        <w:bCs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Cs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Cs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Cs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Cs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Cs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Cs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Cs/>
        <w:sz w:val="28"/>
        <w:szCs w:val="28"/>
      </w:rPr>
    </w:lvl>
  </w:abstractNum>
  <w:abstractNum w:abstractNumId="2" w15:restartNumberingAfterBreak="0">
    <w:nsid w:val="693314FA"/>
    <w:multiLevelType w:val="multilevel"/>
    <w:tmpl w:val="001222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C5"/>
    <w:rsid w:val="00232C24"/>
    <w:rsid w:val="002365C5"/>
    <w:rsid w:val="007A214A"/>
    <w:rsid w:val="00A97751"/>
    <w:rsid w:val="00BD2E69"/>
    <w:rsid w:val="00F6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6651"/>
  <w15:docId w15:val="{49FBAC3A-E72D-413E-BBC5-C8A766B6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79"/>
    <w:pPr>
      <w:spacing w:after="200" w:line="276" w:lineRule="auto"/>
    </w:pPr>
    <w:rPr>
      <w:rFonts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7579"/>
    <w:rPr>
      <w:color w:val="0000FF"/>
      <w:u w:val="single"/>
    </w:rPr>
  </w:style>
  <w:style w:type="character" w:customStyle="1" w:styleId="a3">
    <w:name w:val="Нижний колонтитул Знак"/>
    <w:basedOn w:val="a0"/>
    <w:qFormat/>
    <w:rsid w:val="00F47579"/>
    <w:rPr>
      <w:rFonts w:ascii="Calibri" w:eastAsia="Calibri" w:hAnsi="Calibri" w:cs="Calibri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604D95"/>
    <w:rPr>
      <w:rFonts w:ascii="Segoe UI" w:eastAsia="Calibri" w:hAnsi="Segoe UI" w:cs="Segoe UI"/>
      <w:sz w:val="18"/>
      <w:szCs w:val="18"/>
      <w:lang w:eastAsia="zh-CN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Cell">
    <w:name w:val="ConsPlusCell"/>
    <w:qFormat/>
    <w:rsid w:val="00F47579"/>
    <w:pPr>
      <w:widowControl w:val="0"/>
    </w:pPr>
    <w:rPr>
      <w:rFonts w:eastAsia="Times New Roman" w:cs="Calibri"/>
      <w:lang w:eastAsia="zh-CN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rsid w:val="00F47579"/>
    <w:pPr>
      <w:spacing w:after="0" w:line="240" w:lineRule="auto"/>
    </w:pPr>
  </w:style>
  <w:style w:type="paragraph" w:styleId="ac">
    <w:name w:val="No Spacing"/>
    <w:qFormat/>
    <w:rsid w:val="00F4757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Balloon Text"/>
    <w:basedOn w:val="a"/>
    <w:uiPriority w:val="99"/>
    <w:semiHidden/>
    <w:unhideWhenUsed/>
    <w:qFormat/>
    <w:rsid w:val="00604D9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dc:description/>
  <cp:lastModifiedBy>Зеленовка</cp:lastModifiedBy>
  <cp:revision>5</cp:revision>
  <cp:lastPrinted>2024-02-16T10:41:00Z</cp:lastPrinted>
  <dcterms:created xsi:type="dcterms:W3CDTF">2023-03-30T06:35:00Z</dcterms:created>
  <dcterms:modified xsi:type="dcterms:W3CDTF">2024-02-16T10:56:00Z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