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6044C7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6044C7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6044C7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6044C7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6044C7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6044C7">
      <w:pPr>
        <w:jc w:val="center"/>
        <w:rPr>
          <w:sz w:val="28"/>
          <w:szCs w:val="28"/>
        </w:rPr>
      </w:pPr>
    </w:p>
    <w:p w:rsidR="00000000" w:rsidRDefault="006044C7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6044C7">
      <w:pPr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.2020 № </w:t>
      </w:r>
      <w:r>
        <w:rPr>
          <w:sz w:val="28"/>
          <w:szCs w:val="28"/>
        </w:rPr>
        <w:t>73</w:t>
      </w:r>
    </w:p>
    <w:p w:rsidR="00000000" w:rsidRDefault="006044C7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6044C7">
      <w:pPr>
        <w:jc w:val="center"/>
        <w:rPr>
          <w:rFonts w:cs="Tahoma"/>
          <w:sz w:val="28"/>
          <w:szCs w:val="28"/>
        </w:rPr>
      </w:pPr>
    </w:p>
    <w:p w:rsidR="00000000" w:rsidRDefault="006044C7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6044C7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«Муниципальная политика»</w:t>
      </w:r>
    </w:p>
    <w:p w:rsidR="00000000" w:rsidRDefault="006044C7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кварал 2020 года</w:t>
      </w:r>
    </w:p>
    <w:p w:rsidR="00000000" w:rsidRDefault="006044C7">
      <w:pPr>
        <w:jc w:val="both"/>
        <w:rPr>
          <w:sz w:val="28"/>
          <w:szCs w:val="28"/>
        </w:rPr>
      </w:pPr>
    </w:p>
    <w:p w:rsidR="00000000" w:rsidRDefault="006044C7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95 </w:t>
      </w:r>
      <w:r>
        <w:rPr>
          <w:kern w:val="2"/>
          <w:sz w:val="28"/>
          <w:szCs w:val="28"/>
          <w:lang w:eastAsia="en-US"/>
        </w:rPr>
        <w:t>«Об утверждении Порядка разработки, реализации и оцен</w:t>
      </w:r>
      <w:r>
        <w:rPr>
          <w:kern w:val="2"/>
          <w:sz w:val="28"/>
          <w:szCs w:val="28"/>
          <w:lang w:eastAsia="en-US"/>
        </w:rPr>
        <w:t>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6044C7">
      <w:pPr>
        <w:jc w:val="center"/>
        <w:rPr>
          <w:sz w:val="28"/>
          <w:szCs w:val="28"/>
        </w:rPr>
      </w:pPr>
    </w:p>
    <w:p w:rsidR="00000000" w:rsidRDefault="006044C7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 xml:space="preserve">Утвердить отчет об исполнении Плана реализации Муниципальной программы «Муниципальная политика» 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2020 года, </w:t>
      </w:r>
      <w:r>
        <w:rPr>
          <w:sz w:val="28"/>
          <w:szCs w:val="28"/>
        </w:rPr>
        <w:t>согласно приложению №1 к настоящему постановлению.</w:t>
      </w:r>
    </w:p>
    <w:p w:rsidR="00000000" w:rsidRDefault="006044C7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6044C7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000000" w:rsidRDefault="006044C7">
      <w:pPr>
        <w:rPr>
          <w:rFonts w:eastAsia="Calibri"/>
          <w:sz w:val="28"/>
          <w:szCs w:val="28"/>
          <w:lang w:eastAsia="en-US"/>
        </w:rPr>
      </w:pPr>
    </w:p>
    <w:p w:rsidR="00000000" w:rsidRDefault="006044C7">
      <w:pPr>
        <w:rPr>
          <w:rFonts w:eastAsia="Calibri"/>
          <w:sz w:val="28"/>
          <w:szCs w:val="28"/>
          <w:lang w:eastAsia="en-US"/>
        </w:rPr>
      </w:pPr>
    </w:p>
    <w:p w:rsidR="00000000" w:rsidRDefault="006044C7">
      <w:pPr>
        <w:rPr>
          <w:sz w:val="28"/>
          <w:szCs w:val="28"/>
        </w:rPr>
      </w:pPr>
    </w:p>
    <w:p w:rsidR="00000000" w:rsidRDefault="006044C7">
      <w:pPr>
        <w:rPr>
          <w:sz w:val="28"/>
          <w:szCs w:val="28"/>
        </w:rPr>
      </w:pPr>
    </w:p>
    <w:p w:rsidR="00000000" w:rsidRDefault="006044C7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6044C7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</w:t>
      </w:r>
      <w:r>
        <w:rPr>
          <w:rFonts w:eastAsia="Calibri"/>
          <w:sz w:val="28"/>
          <w:szCs w:val="28"/>
          <w:lang w:eastAsia="en-US"/>
        </w:rPr>
        <w:t>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6044C7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6044C7">
      <w:pPr>
        <w:autoSpaceDE w:val="0"/>
        <w:ind w:left="10773"/>
        <w:jc w:val="right"/>
      </w:pPr>
      <w:r>
        <w:rPr>
          <w:kern w:val="2"/>
          <w:sz w:val="28"/>
          <w:szCs w:val="28"/>
        </w:rPr>
        <w:t>к постановлению от 12.05.2020 №47</w:t>
      </w:r>
    </w:p>
    <w:p w:rsidR="00000000" w:rsidRDefault="006044C7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6044C7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6044C7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«Муниципальная политика» за 1 квартал 2020 года</w:t>
      </w:r>
    </w:p>
    <w:p w:rsidR="00000000" w:rsidRDefault="006044C7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5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6044C7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ind w:left="-75"/>
              <w:jc w:val="center"/>
            </w:pPr>
            <w:r>
              <w:t>Ответственный исполнитель, соисполните</w:t>
            </w:r>
            <w:r>
              <w:t xml:space="preserve">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6044C7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Фактическая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</w:t>
            </w:r>
            <w:r>
              <w:rPr>
                <w:rFonts w:cs="Calibri"/>
              </w:rPr>
              <w:t>ой</w:t>
            </w:r>
            <w:r>
              <w:t xml:space="preserve"> программы, тыс. рублей</w:t>
            </w:r>
          </w:p>
        </w:tc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6044C7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6044C7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</w:pPr>
          </w:p>
        </w:tc>
      </w:tr>
    </w:tbl>
    <w:p w:rsidR="00000000" w:rsidRDefault="006044C7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6044C7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2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5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t>Подпрограм</w:t>
            </w:r>
            <w:r>
              <w:t xml:space="preserve">ма 1 </w:t>
            </w:r>
          </w:p>
          <w:p w:rsidR="00000000" w:rsidRDefault="006044C7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20,0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t>Основное мероприятие 1.1. Обеспечение дополнительного профессионального образования, повышения квалификации, участие в семинарах лиц, замещающих выб</w:t>
            </w:r>
            <w:r>
              <w:t>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rPr>
                <w:kern w:val="2"/>
              </w:rPr>
              <w:t>формирование высококвалифицированного кадрового состава на муниципальной службе;</w:t>
            </w:r>
          </w:p>
          <w:p w:rsidR="00000000" w:rsidRDefault="006044C7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</w:t>
            </w:r>
            <w:r>
              <w:rPr>
                <w:kern w:val="2"/>
              </w:rPr>
              <w:t>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Весь период 202года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25,0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20,0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jc w:val="center"/>
            </w:pPr>
            <w:r>
              <w:t>250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6044C7">
            <w:pPr>
              <w:jc w:val="center"/>
            </w:pPr>
            <w:r>
              <w:t>20,</w:t>
            </w:r>
            <w:r>
              <w:t>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6044C7">
            <w:pPr>
              <w:widowControl w:val="0"/>
              <w:autoSpaceDE w:val="0"/>
              <w:snapToGrid w:val="0"/>
            </w:pPr>
          </w:p>
        </w:tc>
      </w:tr>
    </w:tbl>
    <w:p w:rsidR="00000000" w:rsidRDefault="006044C7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044C7">
      <w:r>
        <w:separator/>
      </w:r>
    </w:p>
  </w:endnote>
  <w:endnote w:type="continuationSeparator" w:id="0">
    <w:p w:rsidR="00000000" w:rsidRDefault="0060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044C7">
    <w:pPr>
      <w:pStyle w:val="afc"/>
    </w:pPr>
  </w:p>
  <w:p w:rsidR="00000000" w:rsidRDefault="006044C7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044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044C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044C7">
    <w:pPr>
      <w:pStyle w:val="afc"/>
    </w:pPr>
  </w:p>
  <w:p w:rsidR="00000000" w:rsidRDefault="006044C7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6044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044C7">
      <w:r>
        <w:separator/>
      </w:r>
    </w:p>
  </w:footnote>
  <w:footnote w:type="continuationSeparator" w:id="0">
    <w:p w:rsidR="00000000" w:rsidRDefault="00604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44C7"/>
    <w:rsid w:val="0060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5300930-76A5-4DC9-9748-E10EA6AE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