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60210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060210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060210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060210">
      <w:pPr>
        <w:jc w:val="center"/>
      </w:pPr>
      <w:r>
        <w:rPr>
          <w:sz w:val="28"/>
          <w:szCs w:val="28"/>
        </w:rPr>
        <w:t>«ЗЕЛЕНОВСКОГО СЕЛЬСКОЕ ПОСЕЛЕНИЕ»</w:t>
      </w:r>
    </w:p>
    <w:p w:rsidR="00000000" w:rsidRDefault="00060210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060210">
      <w:pPr>
        <w:jc w:val="center"/>
        <w:rPr>
          <w:sz w:val="28"/>
          <w:szCs w:val="28"/>
        </w:rPr>
      </w:pPr>
    </w:p>
    <w:p w:rsidR="00000000" w:rsidRDefault="00060210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060210">
      <w:pPr>
        <w:jc w:val="center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№ 4</w:t>
      </w:r>
      <w:r>
        <w:rPr>
          <w:sz w:val="28"/>
          <w:szCs w:val="28"/>
        </w:rPr>
        <w:t>2</w:t>
      </w:r>
    </w:p>
    <w:p w:rsidR="00000000" w:rsidRDefault="00060210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060210">
      <w:pPr>
        <w:jc w:val="center"/>
        <w:rPr>
          <w:rFonts w:cs="Tahoma"/>
          <w:sz w:val="28"/>
          <w:szCs w:val="28"/>
        </w:rPr>
      </w:pPr>
    </w:p>
    <w:p w:rsidR="00000000" w:rsidRDefault="00060210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060210">
      <w:pPr>
        <w:jc w:val="center"/>
      </w:pP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льной программы «Противодействие коррупции в Зеленовском сельском поселении»</w:t>
      </w:r>
    </w:p>
    <w:p w:rsidR="00000000" w:rsidRDefault="00060210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1кварал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000000" w:rsidRDefault="00060210">
      <w:pPr>
        <w:jc w:val="both"/>
        <w:rPr>
          <w:sz w:val="28"/>
          <w:szCs w:val="28"/>
        </w:rPr>
      </w:pPr>
    </w:p>
    <w:p w:rsidR="00000000" w:rsidRDefault="00060210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№ 95 </w:t>
      </w:r>
      <w:r>
        <w:rPr>
          <w:kern w:val="2"/>
          <w:sz w:val="28"/>
          <w:szCs w:val="28"/>
          <w:lang w:eastAsia="en-US"/>
        </w:rPr>
        <w:t>«Об утверждении</w:t>
      </w:r>
      <w:r>
        <w:rPr>
          <w:kern w:val="2"/>
          <w:sz w:val="28"/>
          <w:szCs w:val="28"/>
          <w:lang w:eastAsia="en-US"/>
        </w:rPr>
        <w:t xml:space="preserve"> Порядка разработки, реализации и оценки эффективности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000000" w:rsidRDefault="00060210">
      <w:pPr>
        <w:jc w:val="center"/>
        <w:rPr>
          <w:sz w:val="28"/>
          <w:szCs w:val="28"/>
        </w:rPr>
      </w:pPr>
    </w:p>
    <w:p w:rsidR="00000000" w:rsidRDefault="00060210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>Утвердить отчет об исполнении Плана реализации Муниципальной программы «Противодей</w:t>
      </w:r>
      <w:r>
        <w:rPr>
          <w:sz w:val="28"/>
          <w:szCs w:val="28"/>
        </w:rPr>
        <w:t>ствие коррупции в Зеленовском сельском поселении» за 1 квартал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года, согласно приложению №1 к настоящему постановлению.</w:t>
      </w:r>
    </w:p>
    <w:p w:rsidR="00000000" w:rsidRDefault="00060210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060210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</w:t>
      </w:r>
      <w:r>
        <w:rPr>
          <w:rFonts w:eastAsia="Calibri"/>
          <w:sz w:val="28"/>
          <w:szCs w:val="28"/>
          <w:lang w:eastAsia="en-US"/>
        </w:rPr>
        <w:t>остановления оставляю за собой.</w:t>
      </w:r>
    </w:p>
    <w:p w:rsidR="00000000" w:rsidRDefault="00060210">
      <w:pPr>
        <w:rPr>
          <w:rFonts w:eastAsia="Calibri"/>
          <w:sz w:val="28"/>
          <w:szCs w:val="28"/>
          <w:lang w:eastAsia="en-US"/>
        </w:rPr>
      </w:pPr>
    </w:p>
    <w:p w:rsidR="00000000" w:rsidRDefault="00060210">
      <w:pPr>
        <w:rPr>
          <w:rFonts w:eastAsia="Calibri"/>
          <w:sz w:val="28"/>
          <w:szCs w:val="28"/>
          <w:lang w:eastAsia="en-US"/>
        </w:rPr>
      </w:pPr>
    </w:p>
    <w:p w:rsidR="00000000" w:rsidRDefault="00060210">
      <w:pPr>
        <w:rPr>
          <w:rFonts w:eastAsia="Calibri"/>
          <w:sz w:val="28"/>
          <w:szCs w:val="28"/>
          <w:lang w:eastAsia="en-US"/>
        </w:rPr>
      </w:pPr>
    </w:p>
    <w:p w:rsidR="00000000" w:rsidRDefault="00060210">
      <w:pPr>
        <w:rPr>
          <w:rFonts w:eastAsia="Calibri"/>
          <w:sz w:val="28"/>
          <w:szCs w:val="28"/>
          <w:lang w:eastAsia="en-US"/>
        </w:rPr>
      </w:pPr>
    </w:p>
    <w:p w:rsidR="00000000" w:rsidRDefault="00060210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060210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сельского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060210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000000" w:rsidRDefault="00060210">
      <w:pPr>
        <w:autoSpaceDE w:val="0"/>
        <w:ind w:left="10773"/>
        <w:jc w:val="right"/>
      </w:pPr>
      <w:r>
        <w:rPr>
          <w:kern w:val="2"/>
          <w:sz w:val="28"/>
          <w:szCs w:val="28"/>
        </w:rPr>
        <w:t xml:space="preserve">к постановлению от </w:t>
      </w:r>
      <w:r>
        <w:rPr>
          <w:kern w:val="2"/>
          <w:sz w:val="28"/>
          <w:szCs w:val="28"/>
        </w:rPr>
        <w:t>09</w:t>
      </w:r>
      <w:r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>.202</w:t>
      </w:r>
      <w:r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№4</w:t>
      </w:r>
      <w:r>
        <w:rPr>
          <w:kern w:val="2"/>
          <w:sz w:val="28"/>
          <w:szCs w:val="28"/>
        </w:rPr>
        <w:t>2</w:t>
      </w:r>
    </w:p>
    <w:p w:rsidR="00000000" w:rsidRDefault="00060210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000000" w:rsidRDefault="00060210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000000" w:rsidRDefault="00060210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«Противодействие коррупции в Зеленовском </w:t>
      </w:r>
      <w:r>
        <w:rPr>
          <w:sz w:val="28"/>
          <w:szCs w:val="28"/>
        </w:rPr>
        <w:t>сельском поселении» за 1 квартал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000000" w:rsidRDefault="00060210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73"/>
      </w:tblGrid>
      <w:tr w:rsidR="0000000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000000" w:rsidRDefault="00060210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ind w:left="-75"/>
              <w:jc w:val="center"/>
            </w:pPr>
            <w:r>
              <w:t xml:space="preserve">Ответственный исполнитель, соисполнитель, участник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000000" w:rsidRDefault="00060210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Фактич</w:t>
            </w:r>
            <w:r>
              <w:t>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муниципальной</w:t>
            </w:r>
            <w:r>
              <w:t xml:space="preserve"> программы, тыс. рублей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000000" w:rsidRDefault="00060210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000000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060210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</w:t>
            </w:r>
            <w:r>
              <w:t>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</w:pPr>
          </w:p>
        </w:tc>
      </w:tr>
    </w:tbl>
    <w:p w:rsidR="00000000" w:rsidRDefault="00060210">
      <w:pPr>
        <w:widowControl w:val="0"/>
        <w:autoSpaceDE w:val="0"/>
        <w:jc w:val="center"/>
        <w:rPr>
          <w:sz w:val="6"/>
          <w:szCs w:val="6"/>
        </w:rPr>
      </w:pPr>
    </w:p>
    <w:p w:rsidR="00000000" w:rsidRDefault="00060210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1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73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000000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</w:pPr>
            <w:r>
              <w:t xml:space="preserve">Подпрограмма 1 </w:t>
            </w:r>
          </w:p>
          <w:p w:rsidR="00000000" w:rsidRDefault="00060210">
            <w:pPr>
              <w:widowControl w:val="0"/>
              <w:autoSpaceDE w:val="0"/>
            </w:pPr>
            <w:r>
              <w:t>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</w:pPr>
            <w: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</w:pPr>
          </w:p>
        </w:tc>
      </w:tr>
      <w:tr w:rsidR="00000000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</w:pPr>
            <w:r>
              <w:t>Основное мероприятие 1.1. Обеспечение допол</w:t>
            </w:r>
            <w:r>
              <w:t>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</w:pPr>
            <w:r>
              <w:rPr>
                <w:kern w:val="2"/>
              </w:rPr>
              <w:t xml:space="preserve">формирование высококвалифицированного </w:t>
            </w:r>
            <w:r>
              <w:rPr>
                <w:kern w:val="2"/>
              </w:rPr>
              <w:t>кадрового состава на муниципальной службе;</w:t>
            </w:r>
          </w:p>
          <w:p w:rsidR="00000000" w:rsidRDefault="00060210">
            <w:pPr>
              <w:widowControl w:val="0"/>
              <w:autoSpaceDE w:val="0"/>
            </w:pPr>
            <w:r>
              <w:rPr>
                <w:kern w:val="2"/>
              </w:rPr>
              <w:t>повышение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Весь период 2021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Весь период 2021года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</w:pPr>
            <w:r>
              <w:t xml:space="preserve">Итого по </w:t>
            </w:r>
            <w:r>
              <w:rPr>
                <w:rFonts w:cs="Calibri"/>
              </w:rPr>
              <w:t>муниципальной</w:t>
            </w:r>
            <w:r>
              <w:t xml:space="preserve">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</w:pPr>
          </w:p>
        </w:tc>
      </w:tr>
      <w:tr w:rsidR="0000000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0210">
            <w:pPr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0210">
            <w:pPr>
              <w:widowControl w:val="0"/>
              <w:autoSpaceDE w:val="0"/>
              <w:snapToGrid w:val="0"/>
            </w:pPr>
          </w:p>
        </w:tc>
      </w:tr>
    </w:tbl>
    <w:p w:rsidR="00000000" w:rsidRDefault="00060210">
      <w:pPr>
        <w:pageBreakBefore/>
      </w:pPr>
      <w:bookmarkStart w:id="0" w:name="Par1413"/>
      <w:bookmarkEnd w:id="0"/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60210">
      <w:r>
        <w:separator/>
      </w:r>
    </w:p>
  </w:endnote>
  <w:endnote w:type="continuationSeparator" w:id="0">
    <w:p w:rsidR="00000000" w:rsidRDefault="0006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60210">
    <w:pPr>
      <w:pStyle w:val="afc"/>
    </w:pPr>
  </w:p>
  <w:p w:rsidR="00000000" w:rsidRDefault="00060210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602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6021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60210">
    <w:pPr>
      <w:pStyle w:val="afc"/>
    </w:pPr>
  </w:p>
  <w:p w:rsidR="00000000" w:rsidRDefault="00060210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602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60210">
      <w:r>
        <w:separator/>
      </w:r>
    </w:p>
  </w:footnote>
  <w:footnote w:type="continuationSeparator" w:id="0">
    <w:p w:rsidR="00000000" w:rsidRDefault="0006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210"/>
    <w:rsid w:val="0006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D606927-C313-4FE0-ADF3-2B3FD001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