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t>Этноконфессиональный паспорт Зеленовского сельского поселения Тарасовского  района Ростовской области</w:t>
      </w:r>
    </w:p>
    <w:p>
      <w:pPr>
        <w:pStyle w:val="Normal"/>
        <w:ind w:hanging="0"/>
        <w:jc w:val="center"/>
        <w:rPr>
          <w:szCs w:val="28"/>
        </w:rPr>
      </w:pPr>
      <w:r>
        <w:rPr>
          <w:szCs w:val="28"/>
        </w:rPr>
        <w:t>(на 01.01.20</w:t>
      </w:r>
      <w:r>
        <w:rPr>
          <w:szCs w:val="28"/>
        </w:rPr>
        <w:t>20</w:t>
      </w:r>
      <w:r>
        <w:rPr>
          <w:szCs w:val="28"/>
        </w:rPr>
        <w:t>г.)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Общий блок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95"/>
        <w:gridCol w:w="4775"/>
      </w:tblGrid>
      <w:tr>
        <w:trPr/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01.01.2006 г.</w:t>
            </w:r>
          </w:p>
        </w:tc>
      </w:tr>
      <w:tr>
        <w:trPr/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19073</w:t>
            </w:r>
          </w:p>
        </w:tc>
      </w:tr>
      <w:tr>
        <w:trPr/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с/х угодьями (га):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17281 га</w:t>
            </w:r>
          </w:p>
        </w:tc>
      </w:tr>
      <w:tr>
        <w:trPr/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лесного фонда (га):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га</w:t>
            </w:r>
          </w:p>
        </w:tc>
      </w:tr>
      <w:tr>
        <w:trPr/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населенных пунктов(га):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362,4 га </w:t>
            </w:r>
          </w:p>
        </w:tc>
      </w:tr>
      <w:tr>
        <w:trPr/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Этнодемографические процессы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</w:p>
    <w:tbl>
      <w:tblPr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941"/>
        <w:gridCol w:w="2375"/>
        <w:gridCol w:w="2390"/>
        <w:gridCol w:w="1899"/>
      </w:tblGrid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1217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Турки-месхетинцы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армяне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даргинцы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дагестанцы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грузины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удины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азербайджанцы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чеченцы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корейцы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ингуши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табасаранцы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узбеки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осетины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лезгины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860"/>
        <w:gridCol w:w="4710"/>
      </w:tblGrid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680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537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136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709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372</w:t>
            </w:r>
          </w:p>
        </w:tc>
      </w:tr>
    </w:tbl>
    <w:p>
      <w:pPr>
        <w:pStyle w:val="Normal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Нет данных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811"/>
        <w:gridCol w:w="4759"/>
      </w:tblGrid>
      <w:tr>
        <w:trPr/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ListParagraph"/>
        <w:ind w:left="1080"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Миграционные процессы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Нет данных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признаку, и организации российского казачества</w:t>
      </w:r>
    </w:p>
    <w:p>
      <w:pPr>
        <w:pStyle w:val="Normal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</w:p>
    <w:p>
      <w:pPr>
        <w:pStyle w:val="Normal"/>
        <w:ind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74"/>
        <w:gridCol w:w="4796"/>
      </w:tblGrid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(отдельному) казачьему обществу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Религиозные объединения</w:t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Не зарегистрированы</w:t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Социально-экономический потенциал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905"/>
        <w:gridCol w:w="4665"/>
      </w:tblGrid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жителей, занятых в отраслях экономики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67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здравоохранения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учреждений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37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 в образовательных учреждениях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промышленного производства (млн.руб.)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сельскохозяйственного производства (млн.руб.)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уровня оплаты труда (тыс.руб./мес.)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19,4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муниципального бюджета (млн.руб.)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7,8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муниципального бюджета (млн.руб.)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7,1</w:t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Конфликты и профилактика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4784"/>
      </w:tblGrid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гармонизацию межнациональных отношений (тыс.руб.)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 рамках недопущения конфликтов на национальной почве на территории поселения проводится профилактическая работа с коренным и некоренным населением. в библиотеке села организована тематическая полка «Воспитание толерантности»,   посвящённая гармонизации  межэтнических отношений,  на  проведённых  встречах     граждан рассматривались вопросы профилактики терроризма и недопущение экстремизма на территории поселения.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5"/>
              <w:jc w:val="center"/>
              <w:rPr/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(тыс.руб.)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поселения создана и работает народная дружина,  которая помогает в поддержании правопорядка в общественных местах во время проведения культурно-массовых мероприятий и  мероприятий, проводимых в выходные дни.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ведётся учёт посетителей в  школе.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Проводятся тренировки по эвакуации детей из образовательных учреждений 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 информационных стендах развешивается и постоянно обновляется информация о  бдительности населения  по недопущению террористических актов.</w:t>
            </w:r>
          </w:p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-регулярно проводятся встречи   граждан  где рассматриваются вопросы  недопущения межнациональных конфликтов и вопросы противодействия терроризму и экстремизму</w:t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народной дружине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rPr/>
      </w:pPr>
      <w:r>
        <w:rPr/>
        <w:t xml:space="preserve">  </w:t>
      </w:r>
      <w:r>
        <w:rPr/>
        <w:tab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7eb2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99"/>
    <w:qFormat/>
    <w:rsid w:val="00657eb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657eb2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LibreOffice/6.3.1.2$Windows_x86 LibreOffice_project/b79626edf0065ac373bd1df5c28bd630b4424273</Application>
  <Pages>3</Pages>
  <Words>465</Words>
  <Characters>3534</Characters>
  <CharactersWithSpaces>3906</CharactersWithSpaces>
  <Paragraphs>150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2019-01-22T04:22:00Z</dcterms:created>
  <dc:creator>1</dc:creator>
  <dc:description/>
  <dc:language>ru-RU</dc:language>
  <cp:lastModifiedBy/>
  <cp:lastPrinted>2020-02-02T14:09:59Z</cp:lastPrinted>
  <dcterms:modified xsi:type="dcterms:W3CDTF">2020-02-02T14:28:20Z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